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BF77B" w14:textId="344A9414" w:rsidR="002E0C16" w:rsidRPr="00D92B78" w:rsidRDefault="002E0C16" w:rsidP="00D92B78">
      <w:pPr>
        <w:pStyle w:val="paragraph"/>
        <w:tabs>
          <w:tab w:val="left" w:pos="142"/>
        </w:tabs>
        <w:textAlignment w:val="baseline"/>
        <w:rPr>
          <w:rFonts w:ascii="Arial" w:hAnsi="Arial" w:cs="Arial"/>
          <w:b/>
          <w:bCs/>
          <w:sz w:val="32"/>
          <w:szCs w:val="32"/>
        </w:rPr>
      </w:pPr>
      <w:r w:rsidRPr="00D92B78">
        <w:rPr>
          <w:rStyle w:val="normaltextrun"/>
          <w:rFonts w:ascii="Arial" w:hAnsi="Arial" w:cs="Arial"/>
          <w:b/>
          <w:bCs/>
          <w:sz w:val="32"/>
          <w:szCs w:val="32"/>
        </w:rPr>
        <w:t xml:space="preserve">Resources Board – </w:t>
      </w:r>
      <w:r w:rsidR="00154DD1">
        <w:rPr>
          <w:rStyle w:val="normaltextrun"/>
          <w:rFonts w:ascii="Arial" w:hAnsi="Arial" w:cs="Arial"/>
          <w:b/>
          <w:bCs/>
          <w:sz w:val="32"/>
          <w:szCs w:val="32"/>
        </w:rPr>
        <w:t>R</w:t>
      </w:r>
      <w:r w:rsidRPr="00D92B78">
        <w:rPr>
          <w:rStyle w:val="normaltextrun"/>
          <w:rFonts w:ascii="Arial" w:hAnsi="Arial" w:cs="Arial"/>
          <w:b/>
          <w:bCs/>
          <w:sz w:val="32"/>
          <w:szCs w:val="32"/>
        </w:rPr>
        <w:t>eport from Cllr Richard Watts (Chair)</w:t>
      </w:r>
      <w:r w:rsidRPr="00D92B78">
        <w:rPr>
          <w:rStyle w:val="eop"/>
          <w:rFonts w:ascii="Arial" w:hAnsi="Arial" w:cs="Arial"/>
          <w:b/>
          <w:bCs/>
          <w:sz w:val="32"/>
          <w:szCs w:val="32"/>
        </w:rPr>
        <w:t> </w:t>
      </w:r>
    </w:p>
    <w:p w14:paraId="6CE20AA3" w14:textId="77777777" w:rsidR="002E0C16" w:rsidRPr="00D92B78" w:rsidRDefault="002E0C16" w:rsidP="00D92B78">
      <w:pPr>
        <w:pStyle w:val="paragraph"/>
        <w:tabs>
          <w:tab w:val="left" w:pos="142"/>
        </w:tabs>
        <w:ind w:firstLine="60"/>
        <w:textAlignment w:val="baseline"/>
        <w:rPr>
          <w:rFonts w:ascii="Arial" w:hAnsi="Arial" w:cs="Arial"/>
          <w:sz w:val="22"/>
          <w:szCs w:val="22"/>
        </w:rPr>
      </w:pPr>
    </w:p>
    <w:p w14:paraId="36BF1111" w14:textId="77777777" w:rsidR="002E0C16" w:rsidRPr="00D92B78" w:rsidRDefault="002E0C16" w:rsidP="00D92B78">
      <w:pPr>
        <w:pStyle w:val="paragraph"/>
        <w:tabs>
          <w:tab w:val="left" w:pos="142"/>
        </w:tabs>
        <w:textAlignment w:val="baseline"/>
        <w:rPr>
          <w:rFonts w:ascii="Arial" w:hAnsi="Arial" w:cs="Arial"/>
        </w:rPr>
      </w:pPr>
      <w:r w:rsidRPr="00D92B78">
        <w:rPr>
          <w:rStyle w:val="normaltextrun"/>
          <w:rFonts w:ascii="Arial" w:hAnsi="Arial" w:cs="Arial"/>
          <w:b/>
          <w:bCs/>
        </w:rPr>
        <w:t>Local Government Finance</w:t>
      </w:r>
      <w:r w:rsidRPr="00D92B78">
        <w:rPr>
          <w:rStyle w:val="eop"/>
          <w:rFonts w:ascii="Arial" w:hAnsi="Arial" w:cs="Arial"/>
        </w:rPr>
        <w:t> </w:t>
      </w:r>
    </w:p>
    <w:p w14:paraId="5AFE8AC5" w14:textId="77777777" w:rsidR="002E0C16" w:rsidRPr="00D92B78" w:rsidRDefault="002E0C16" w:rsidP="00D92B78">
      <w:pPr>
        <w:pStyle w:val="paragraph"/>
        <w:tabs>
          <w:tab w:val="left" w:pos="142"/>
        </w:tabs>
        <w:ind w:firstLine="60"/>
        <w:textAlignment w:val="baseline"/>
        <w:rPr>
          <w:rFonts w:ascii="Arial" w:hAnsi="Arial" w:cs="Arial"/>
          <w:sz w:val="22"/>
          <w:szCs w:val="22"/>
        </w:rPr>
      </w:pPr>
    </w:p>
    <w:p w14:paraId="0E5F480D" w14:textId="77777777" w:rsidR="0041282E" w:rsidRPr="00D92B78" w:rsidRDefault="0041282E" w:rsidP="00D92B78">
      <w:pPr>
        <w:pStyle w:val="ListParagraph"/>
        <w:keepLines/>
        <w:tabs>
          <w:tab w:val="left" w:pos="142"/>
        </w:tabs>
        <w:ind w:left="0"/>
        <w:rPr>
          <w:rStyle w:val="normaltextrun1"/>
          <w:rFonts w:eastAsia="Arial"/>
          <w:bCs/>
          <w:i/>
          <w:iCs/>
        </w:rPr>
      </w:pPr>
      <w:r w:rsidRPr="00D92B78">
        <w:rPr>
          <w:rFonts w:eastAsia="Arial"/>
          <w:bCs/>
          <w:i/>
          <w:iCs/>
        </w:rPr>
        <w:t>Final 2021/22 Local Government Finance Settlement</w:t>
      </w:r>
    </w:p>
    <w:p w14:paraId="785BC5CE" w14:textId="77777777" w:rsidR="0041282E" w:rsidRPr="00D92B78" w:rsidRDefault="0041282E" w:rsidP="00D92B78">
      <w:pPr>
        <w:tabs>
          <w:tab w:val="left" w:pos="142"/>
        </w:tabs>
        <w:rPr>
          <w:rStyle w:val="normaltextrun1"/>
        </w:rPr>
      </w:pPr>
    </w:p>
    <w:p w14:paraId="73C05AAE" w14:textId="77777777" w:rsidR="0041282E" w:rsidRPr="00D92B78" w:rsidRDefault="0041282E" w:rsidP="00D92B78">
      <w:pPr>
        <w:pStyle w:val="ListParagraph"/>
        <w:numPr>
          <w:ilvl w:val="0"/>
          <w:numId w:val="10"/>
        </w:numPr>
        <w:tabs>
          <w:tab w:val="left" w:pos="142"/>
        </w:tabs>
        <w:ind w:left="0" w:hanging="357"/>
      </w:pPr>
      <w:r w:rsidRPr="00D92B78">
        <w:t xml:space="preserve">The Final Local Government Finance Settlement for 2021/22 was </w:t>
      </w:r>
      <w:hyperlink r:id="rId11">
        <w:r w:rsidRPr="00D92B78">
          <w:rPr>
            <w:rStyle w:val="Hyperlink"/>
          </w:rPr>
          <w:t>published</w:t>
        </w:r>
      </w:hyperlink>
      <w:r w:rsidRPr="00D92B78">
        <w:t xml:space="preserve"> on 4 February and approved in Parliament on 10 February. There were no major changes compared to the provisional settlement published in December 2020. More than 85 per cent of the potential core spending power increase next year is dependent on councils increasing council tax by the maximum permitted without a referendum.</w:t>
      </w:r>
    </w:p>
    <w:p w14:paraId="3563C650" w14:textId="77777777" w:rsidR="0041282E" w:rsidRPr="00D92B78" w:rsidRDefault="0041282E" w:rsidP="00D92B78">
      <w:pPr>
        <w:pStyle w:val="ListParagraph"/>
        <w:tabs>
          <w:tab w:val="left" w:pos="142"/>
        </w:tabs>
        <w:ind w:left="0"/>
      </w:pPr>
    </w:p>
    <w:p w14:paraId="4FBBC3B4" w14:textId="77777777" w:rsidR="0041282E" w:rsidRPr="00D92B78" w:rsidRDefault="0041282E" w:rsidP="00D92B78">
      <w:pPr>
        <w:pStyle w:val="ListParagraph"/>
        <w:numPr>
          <w:ilvl w:val="0"/>
          <w:numId w:val="10"/>
        </w:numPr>
        <w:tabs>
          <w:tab w:val="left" w:pos="142"/>
        </w:tabs>
        <w:ind w:left="0" w:hanging="357"/>
      </w:pPr>
      <w:r w:rsidRPr="00D92B78">
        <w:t>Allocations of the Public Health Grant for 2021/22 have not yet been announced.</w:t>
      </w:r>
    </w:p>
    <w:p w14:paraId="179312FF" w14:textId="77777777" w:rsidR="0041282E" w:rsidRPr="00D92B78" w:rsidRDefault="0041282E" w:rsidP="00D92B78">
      <w:pPr>
        <w:tabs>
          <w:tab w:val="left" w:pos="142"/>
        </w:tabs>
        <w:rPr>
          <w:rFonts w:eastAsia="Arial"/>
          <w:bCs/>
        </w:rPr>
      </w:pPr>
    </w:p>
    <w:p w14:paraId="004C88F2" w14:textId="77777777" w:rsidR="0041282E" w:rsidRPr="00D92B78" w:rsidRDefault="0041282E" w:rsidP="00D92B78">
      <w:pPr>
        <w:pStyle w:val="paragraph"/>
        <w:tabs>
          <w:tab w:val="left" w:pos="142"/>
        </w:tabs>
        <w:textAlignment w:val="baseline"/>
        <w:rPr>
          <w:rStyle w:val="normaltextrun1"/>
          <w:rFonts w:ascii="Arial" w:hAnsi="Arial" w:cs="Arial"/>
          <w:i/>
          <w:sz w:val="22"/>
          <w:szCs w:val="22"/>
        </w:rPr>
      </w:pPr>
      <w:r w:rsidRPr="00D92B78">
        <w:rPr>
          <w:rStyle w:val="normaltextrun1"/>
          <w:rFonts w:ascii="Arial" w:hAnsi="Arial" w:cs="Arial"/>
          <w:i/>
          <w:sz w:val="22"/>
          <w:szCs w:val="22"/>
        </w:rPr>
        <w:t>Chancellor’s Budget 2021</w:t>
      </w:r>
    </w:p>
    <w:p w14:paraId="132E6A42" w14:textId="77777777" w:rsidR="0041282E" w:rsidRPr="00D92B78" w:rsidRDefault="0041282E" w:rsidP="00D92B78">
      <w:pPr>
        <w:pStyle w:val="paragraph"/>
        <w:tabs>
          <w:tab w:val="left" w:pos="142"/>
        </w:tabs>
        <w:textAlignment w:val="baseline"/>
        <w:rPr>
          <w:rStyle w:val="normaltextrun1"/>
          <w:rFonts w:ascii="Arial" w:hAnsi="Arial" w:cs="Arial"/>
          <w:iCs/>
          <w:sz w:val="22"/>
          <w:szCs w:val="22"/>
        </w:rPr>
      </w:pPr>
    </w:p>
    <w:p w14:paraId="76AF1E3F" w14:textId="5AB36157" w:rsidR="0041282E" w:rsidRPr="00D92B78" w:rsidRDefault="0041282E" w:rsidP="00D92B78">
      <w:pPr>
        <w:pStyle w:val="ListParagraph"/>
        <w:numPr>
          <w:ilvl w:val="0"/>
          <w:numId w:val="10"/>
        </w:numPr>
        <w:tabs>
          <w:tab w:val="left" w:pos="142"/>
        </w:tabs>
        <w:ind w:left="0" w:hanging="357"/>
      </w:pPr>
      <w:r w:rsidRPr="00D92B78">
        <w:rPr>
          <w:rStyle w:val="normaltextrun1"/>
          <w:iCs/>
        </w:rPr>
        <w:t xml:space="preserve">The Budget was delivered by the Chancellor on 3 March. </w:t>
      </w:r>
      <w:r w:rsidRPr="00D92B78">
        <w:t xml:space="preserve">Officers produced an </w:t>
      </w:r>
      <w:hyperlink r:id="rId12" w:history="1">
        <w:r w:rsidRPr="00484C8C">
          <w:rPr>
            <w:rStyle w:val="Hyperlink"/>
          </w:rPr>
          <w:t>on the day briefing</w:t>
        </w:r>
      </w:hyperlink>
      <w:r w:rsidRPr="00D92B78">
        <w:t xml:space="preserve"> summarising the key announcements from the Budget.</w:t>
      </w:r>
    </w:p>
    <w:p w14:paraId="2067D541" w14:textId="77777777" w:rsidR="0041282E" w:rsidRPr="00D92B78" w:rsidRDefault="0041282E" w:rsidP="00D92B78">
      <w:pPr>
        <w:pStyle w:val="paragraph"/>
        <w:tabs>
          <w:tab w:val="left" w:pos="142"/>
        </w:tabs>
        <w:textAlignment w:val="baseline"/>
        <w:rPr>
          <w:rStyle w:val="normaltextrun1"/>
          <w:rFonts w:ascii="Arial" w:hAnsi="Arial" w:cs="Arial"/>
          <w:iCs/>
          <w:sz w:val="22"/>
          <w:szCs w:val="22"/>
        </w:rPr>
      </w:pPr>
    </w:p>
    <w:p w14:paraId="4A6CD037" w14:textId="53C9BD40" w:rsidR="0041282E" w:rsidRPr="00D92B78" w:rsidRDefault="0041282E" w:rsidP="00D92B78">
      <w:pPr>
        <w:pStyle w:val="ListParagraph"/>
        <w:keepLines/>
        <w:tabs>
          <w:tab w:val="left" w:pos="142"/>
        </w:tabs>
        <w:ind w:left="0"/>
        <w:rPr>
          <w:rFonts w:eastAsia="Arial"/>
          <w:bCs/>
          <w:i/>
          <w:iCs/>
        </w:rPr>
      </w:pPr>
      <w:r w:rsidRPr="00D92B78">
        <w:rPr>
          <w:rFonts w:eastAsia="Arial"/>
          <w:bCs/>
          <w:i/>
          <w:iCs/>
        </w:rPr>
        <w:t xml:space="preserve">New Homes Bonus </w:t>
      </w:r>
      <w:r w:rsidR="00502B81" w:rsidRPr="00D92B78">
        <w:rPr>
          <w:rFonts w:eastAsia="Arial"/>
          <w:bCs/>
          <w:i/>
          <w:iCs/>
        </w:rPr>
        <w:t>C</w:t>
      </w:r>
      <w:r w:rsidRPr="00D92B78">
        <w:rPr>
          <w:rFonts w:eastAsia="Arial"/>
          <w:bCs/>
          <w:i/>
          <w:iCs/>
        </w:rPr>
        <w:t>onsultation</w:t>
      </w:r>
    </w:p>
    <w:p w14:paraId="4B7CB143" w14:textId="77777777" w:rsidR="0041282E" w:rsidRPr="00D92B78" w:rsidRDefault="0041282E" w:rsidP="00D92B78">
      <w:pPr>
        <w:pStyle w:val="ListParagraph"/>
        <w:keepLines/>
        <w:tabs>
          <w:tab w:val="left" w:pos="142"/>
        </w:tabs>
        <w:ind w:left="0"/>
        <w:rPr>
          <w:rStyle w:val="normaltextrun1"/>
          <w:rFonts w:eastAsia="Arial"/>
          <w:bCs/>
          <w:i/>
          <w:iCs/>
        </w:rPr>
      </w:pPr>
    </w:p>
    <w:p w14:paraId="09A924AB" w14:textId="77777777" w:rsidR="0041282E" w:rsidRPr="00D92B78" w:rsidRDefault="0041282E" w:rsidP="00D92B78">
      <w:pPr>
        <w:pStyle w:val="paragraph"/>
        <w:numPr>
          <w:ilvl w:val="0"/>
          <w:numId w:val="10"/>
        </w:numPr>
        <w:tabs>
          <w:tab w:val="left" w:pos="142"/>
        </w:tabs>
        <w:ind w:left="0" w:hanging="357"/>
        <w:textAlignment w:val="baseline"/>
        <w:rPr>
          <w:rStyle w:val="normaltextrun1"/>
          <w:rFonts w:ascii="Arial" w:hAnsi="Arial" w:cs="Arial"/>
          <w:iCs/>
          <w:sz w:val="22"/>
          <w:szCs w:val="22"/>
        </w:rPr>
      </w:pPr>
      <w:r w:rsidRPr="00D92B78">
        <w:rPr>
          <w:rStyle w:val="normaltextrun1"/>
          <w:rFonts w:ascii="Arial" w:hAnsi="Arial" w:cs="Arial"/>
          <w:iCs/>
          <w:sz w:val="22"/>
          <w:szCs w:val="22"/>
        </w:rPr>
        <w:t xml:space="preserve">The Government launched a </w:t>
      </w:r>
      <w:hyperlink r:id="rId13" w:history="1">
        <w:r w:rsidRPr="00D92B78">
          <w:rPr>
            <w:rStyle w:val="Hyperlink"/>
            <w:rFonts w:ascii="Arial" w:hAnsi="Arial" w:cs="Arial"/>
            <w:iCs/>
            <w:sz w:val="22"/>
            <w:szCs w:val="22"/>
          </w:rPr>
          <w:t>consultation</w:t>
        </w:r>
      </w:hyperlink>
      <w:r w:rsidRPr="00D92B78">
        <w:rPr>
          <w:rStyle w:val="normaltextrun1"/>
          <w:rFonts w:ascii="Arial" w:hAnsi="Arial" w:cs="Arial"/>
          <w:iCs/>
          <w:sz w:val="22"/>
          <w:szCs w:val="22"/>
        </w:rPr>
        <w:t xml:space="preserve"> on the future of the New Homes Bonus (NHB) on 10 February. The consultation sets out options for reform to be implemented from 2022/23 onwards and confirms that while legacy payments committed in previous years will be honoured, the concept will not be reintroduced.</w:t>
      </w:r>
    </w:p>
    <w:p w14:paraId="38F078FB" w14:textId="77777777" w:rsidR="0041282E" w:rsidRPr="00D92B78" w:rsidRDefault="0041282E" w:rsidP="00D92B78">
      <w:pPr>
        <w:pStyle w:val="paragraph"/>
        <w:tabs>
          <w:tab w:val="left" w:pos="142"/>
        </w:tabs>
        <w:textAlignment w:val="baseline"/>
        <w:rPr>
          <w:rStyle w:val="normaltextrun1"/>
          <w:rFonts w:ascii="Arial" w:hAnsi="Arial" w:cs="Arial"/>
          <w:iCs/>
          <w:sz w:val="22"/>
          <w:szCs w:val="22"/>
        </w:rPr>
      </w:pPr>
    </w:p>
    <w:p w14:paraId="6FAD7F15" w14:textId="3A495766" w:rsidR="0041282E" w:rsidRPr="00D92B78" w:rsidRDefault="0041282E" w:rsidP="00D92B78">
      <w:pPr>
        <w:pStyle w:val="ListParagraph"/>
        <w:numPr>
          <w:ilvl w:val="0"/>
          <w:numId w:val="10"/>
        </w:numPr>
        <w:tabs>
          <w:tab w:val="left" w:pos="142"/>
        </w:tabs>
        <w:ind w:left="0" w:hanging="357"/>
        <w:rPr>
          <w:rStyle w:val="normaltextrun1"/>
          <w:rFonts w:eastAsia="Times New Roman"/>
          <w:iCs/>
          <w:lang w:eastAsia="en-GB"/>
        </w:rPr>
      </w:pPr>
      <w:r w:rsidRPr="00D92B78">
        <w:rPr>
          <w:rStyle w:val="normaltextrun1"/>
          <w:rFonts w:eastAsia="Times New Roman"/>
          <w:iCs/>
          <w:lang w:eastAsia="en-GB"/>
        </w:rPr>
        <w:t>The consultation seeks views on the reform of existing elements of the NHB, such as the Affordable Homes Premium and the 80/20 split between shire districts and county councils, as well as views on proposed new conditions.</w:t>
      </w:r>
      <w:r w:rsidR="00A42F04" w:rsidRPr="00D92B78">
        <w:rPr>
          <w:rStyle w:val="normaltextrun1"/>
          <w:rFonts w:eastAsia="Times New Roman"/>
          <w:iCs/>
          <w:lang w:eastAsia="en-GB"/>
        </w:rPr>
        <w:t xml:space="preserve"> </w:t>
      </w:r>
      <w:r w:rsidRPr="00D92B78">
        <w:rPr>
          <w:rFonts w:eastAsia="Times New Roman"/>
          <w:lang w:eastAsia="en-GB"/>
        </w:rPr>
        <w:t>The Resources Board discussed the consultation at their meeting on 2 March and this will inform the LGA’s response.</w:t>
      </w:r>
    </w:p>
    <w:p w14:paraId="6DF145D5" w14:textId="77777777" w:rsidR="0041282E" w:rsidRPr="00D92B78" w:rsidRDefault="0041282E" w:rsidP="00D92B78">
      <w:pPr>
        <w:pStyle w:val="paragraph"/>
        <w:tabs>
          <w:tab w:val="left" w:pos="142"/>
        </w:tabs>
        <w:textAlignment w:val="baseline"/>
        <w:rPr>
          <w:rStyle w:val="normaltextrun1"/>
          <w:rFonts w:ascii="Arial" w:hAnsi="Arial" w:cs="Arial"/>
          <w:iCs/>
          <w:sz w:val="22"/>
          <w:szCs w:val="22"/>
        </w:rPr>
      </w:pPr>
    </w:p>
    <w:p w14:paraId="5C10EA4C" w14:textId="77777777" w:rsidR="0041282E" w:rsidRPr="00D92B78" w:rsidRDefault="0041282E" w:rsidP="00D92B78">
      <w:pPr>
        <w:pStyle w:val="paragraph"/>
        <w:tabs>
          <w:tab w:val="left" w:pos="142"/>
        </w:tabs>
        <w:textAlignment w:val="baseline"/>
        <w:rPr>
          <w:rStyle w:val="normaltextrun1"/>
          <w:rFonts w:ascii="Arial" w:hAnsi="Arial" w:cs="Arial"/>
          <w:i/>
          <w:sz w:val="22"/>
          <w:szCs w:val="22"/>
        </w:rPr>
      </w:pPr>
      <w:r w:rsidRPr="00D92B78">
        <w:rPr>
          <w:rStyle w:val="normaltextrun1"/>
          <w:rFonts w:ascii="Arial" w:hAnsi="Arial" w:cs="Arial"/>
          <w:i/>
          <w:sz w:val="22"/>
          <w:szCs w:val="22"/>
        </w:rPr>
        <w:t xml:space="preserve">Business Rates Review </w:t>
      </w:r>
    </w:p>
    <w:p w14:paraId="0FF9516F" w14:textId="77777777" w:rsidR="0041282E" w:rsidRPr="00D92B78" w:rsidRDefault="0041282E" w:rsidP="00D92B78">
      <w:pPr>
        <w:pStyle w:val="paragraph"/>
        <w:tabs>
          <w:tab w:val="left" w:pos="142"/>
        </w:tabs>
        <w:textAlignment w:val="baseline"/>
        <w:rPr>
          <w:rStyle w:val="normaltextrun1"/>
          <w:rFonts w:ascii="Arial" w:hAnsi="Arial" w:cs="Arial"/>
          <w:iCs/>
          <w:sz w:val="22"/>
          <w:szCs w:val="22"/>
        </w:rPr>
      </w:pPr>
    </w:p>
    <w:p w14:paraId="6AB5D169" w14:textId="605D8B9A" w:rsidR="0041282E" w:rsidRPr="00D92B78" w:rsidRDefault="0041282E" w:rsidP="00D92B78">
      <w:pPr>
        <w:numPr>
          <w:ilvl w:val="0"/>
          <w:numId w:val="10"/>
        </w:numPr>
        <w:tabs>
          <w:tab w:val="left" w:pos="142"/>
        </w:tabs>
        <w:ind w:left="0" w:hanging="357"/>
        <w:contextualSpacing/>
        <w:rPr>
          <w:rFonts w:eastAsia="Times New Roman"/>
          <w:lang w:eastAsia="en-GB"/>
        </w:rPr>
      </w:pPr>
      <w:r w:rsidRPr="00D92B78">
        <w:rPr>
          <w:rFonts w:eastAsia="Times New Roman"/>
          <w:lang w:eastAsia="en-GB"/>
        </w:rPr>
        <w:t xml:space="preserve">On 19 February the Treasury </w:t>
      </w:r>
      <w:hyperlink r:id="rId14">
        <w:r w:rsidRPr="00D92B78">
          <w:rPr>
            <w:rFonts w:eastAsia="Times New Roman"/>
            <w:color w:val="0563C1"/>
            <w:u w:val="single"/>
            <w:lang w:eastAsia="en-GB"/>
          </w:rPr>
          <w:t>announced</w:t>
        </w:r>
      </w:hyperlink>
      <w:r w:rsidRPr="00D92B78">
        <w:rPr>
          <w:rFonts w:eastAsia="Times New Roman"/>
          <w:lang w:eastAsia="en-GB"/>
        </w:rPr>
        <w:t xml:space="preserve"> that an interim report of their Review of Business Rates, along with a summary of responses to the </w:t>
      </w:r>
      <w:hyperlink r:id="rId15" w:history="1">
        <w:r w:rsidRPr="00D92B78">
          <w:rPr>
            <w:rStyle w:val="Hyperlink"/>
            <w:rFonts w:eastAsia="Times New Roman"/>
            <w:lang w:eastAsia="en-GB"/>
          </w:rPr>
          <w:t>Call for Evidence</w:t>
        </w:r>
      </w:hyperlink>
      <w:r w:rsidRPr="00D92B78">
        <w:rPr>
          <w:rFonts w:eastAsia="Times New Roman"/>
          <w:lang w:eastAsia="en-GB"/>
        </w:rPr>
        <w:t xml:space="preserve">, would be published on 23 March with the final report being published in Autumn 2021. The Business Rates and Local Government Finance Reform Task </w:t>
      </w:r>
      <w:r w:rsidR="00FF173D" w:rsidRPr="00D92B78">
        <w:rPr>
          <w:rFonts w:eastAsia="Times New Roman"/>
          <w:lang w:eastAsia="en-GB"/>
        </w:rPr>
        <w:t>&amp;</w:t>
      </w:r>
      <w:r w:rsidRPr="00D92B78">
        <w:rPr>
          <w:rFonts w:eastAsia="Times New Roman"/>
          <w:lang w:eastAsia="en-GB"/>
        </w:rPr>
        <w:t xml:space="preserve"> Finish Group will continue to oversee this work.</w:t>
      </w:r>
    </w:p>
    <w:p w14:paraId="26F18183" w14:textId="77777777" w:rsidR="0041282E" w:rsidRPr="00D92B78" w:rsidRDefault="0041282E" w:rsidP="00D92B78">
      <w:pPr>
        <w:pStyle w:val="paragraph"/>
        <w:tabs>
          <w:tab w:val="left" w:pos="142"/>
        </w:tabs>
        <w:textAlignment w:val="baseline"/>
        <w:rPr>
          <w:rStyle w:val="normaltextrun1"/>
          <w:rFonts w:ascii="Arial" w:hAnsi="Arial" w:cs="Arial"/>
          <w:iCs/>
          <w:sz w:val="22"/>
          <w:szCs w:val="22"/>
        </w:rPr>
      </w:pPr>
    </w:p>
    <w:p w14:paraId="1A024925" w14:textId="77777777" w:rsidR="0041282E" w:rsidRPr="00D92B78" w:rsidRDefault="0041282E" w:rsidP="00D92B78">
      <w:pPr>
        <w:pStyle w:val="paragraph"/>
        <w:keepNext/>
        <w:tabs>
          <w:tab w:val="left" w:pos="142"/>
        </w:tabs>
        <w:textAlignment w:val="baseline"/>
        <w:rPr>
          <w:rStyle w:val="normaltextrun1"/>
          <w:rFonts w:ascii="Arial" w:hAnsi="Arial" w:cs="Arial"/>
          <w:i/>
          <w:sz w:val="22"/>
          <w:szCs w:val="22"/>
        </w:rPr>
      </w:pPr>
      <w:r w:rsidRPr="00D92B78">
        <w:rPr>
          <w:rStyle w:val="normaltextrun1"/>
          <w:rFonts w:ascii="Arial" w:hAnsi="Arial" w:cs="Arial"/>
          <w:i/>
          <w:sz w:val="22"/>
          <w:szCs w:val="22"/>
        </w:rPr>
        <w:t>Capitalisation</w:t>
      </w:r>
    </w:p>
    <w:p w14:paraId="64BCE003" w14:textId="77777777" w:rsidR="0041282E" w:rsidRPr="00D92B78" w:rsidRDefault="0041282E" w:rsidP="00D92B78">
      <w:pPr>
        <w:pStyle w:val="paragraph"/>
        <w:keepNext/>
        <w:tabs>
          <w:tab w:val="left" w:pos="142"/>
        </w:tabs>
        <w:textAlignment w:val="baseline"/>
        <w:rPr>
          <w:rStyle w:val="normaltextrun1"/>
          <w:rFonts w:ascii="Arial" w:hAnsi="Arial" w:cs="Arial"/>
          <w:iCs/>
          <w:sz w:val="22"/>
          <w:szCs w:val="22"/>
        </w:rPr>
      </w:pPr>
    </w:p>
    <w:p w14:paraId="376F1F8C" w14:textId="732E883C" w:rsidR="00FF173D" w:rsidRDefault="0041282E" w:rsidP="00CC080B">
      <w:pPr>
        <w:pStyle w:val="ListParagraph"/>
        <w:numPr>
          <w:ilvl w:val="0"/>
          <w:numId w:val="10"/>
        </w:numPr>
        <w:tabs>
          <w:tab w:val="left" w:pos="142"/>
        </w:tabs>
        <w:ind w:left="0" w:hanging="357"/>
        <w:rPr>
          <w:rStyle w:val="normaltextrun1"/>
          <w:rFonts w:eastAsia="Times New Roman"/>
          <w:iCs/>
          <w:lang w:eastAsia="en-GB"/>
        </w:rPr>
      </w:pPr>
      <w:r w:rsidRPr="00D92B78">
        <w:rPr>
          <w:rStyle w:val="normaltextrun1"/>
          <w:rFonts w:eastAsia="Times New Roman"/>
          <w:iCs/>
          <w:lang w:eastAsia="en-GB"/>
        </w:rPr>
        <w:t>On 10 February the Government published details of capitalisation directions for four local authorities that have requested exceptional financial support during the COVID-19 pandemic.  This will enable Bexley, Eastbourne, Peterborough, and Luton to use capital resources and borrowing to support their spending.</w:t>
      </w:r>
    </w:p>
    <w:p w14:paraId="2CD2824A" w14:textId="24B2AE7C" w:rsidR="00FF173D" w:rsidRDefault="00FF173D" w:rsidP="00D92B78">
      <w:pPr>
        <w:pStyle w:val="paragraph"/>
        <w:tabs>
          <w:tab w:val="left" w:pos="142"/>
        </w:tabs>
        <w:textAlignment w:val="baseline"/>
        <w:rPr>
          <w:rStyle w:val="normaltextrun1"/>
          <w:rFonts w:ascii="Arial" w:hAnsi="Arial" w:cs="Arial"/>
          <w:i/>
          <w:sz w:val="22"/>
          <w:szCs w:val="22"/>
        </w:rPr>
      </w:pPr>
    </w:p>
    <w:p w14:paraId="75DC90A7" w14:textId="29A64D0E" w:rsidR="00AA76C2" w:rsidRDefault="00AA76C2" w:rsidP="00D92B78">
      <w:pPr>
        <w:pStyle w:val="paragraph"/>
        <w:tabs>
          <w:tab w:val="left" w:pos="142"/>
        </w:tabs>
        <w:textAlignment w:val="baseline"/>
        <w:rPr>
          <w:rStyle w:val="normaltextrun1"/>
          <w:rFonts w:ascii="Arial" w:hAnsi="Arial" w:cs="Arial"/>
          <w:i/>
          <w:sz w:val="22"/>
          <w:szCs w:val="22"/>
        </w:rPr>
      </w:pPr>
    </w:p>
    <w:p w14:paraId="6BE6EB9F" w14:textId="14EA354A" w:rsidR="00AA76C2" w:rsidRDefault="00AA76C2" w:rsidP="00D92B78">
      <w:pPr>
        <w:pStyle w:val="paragraph"/>
        <w:tabs>
          <w:tab w:val="left" w:pos="142"/>
        </w:tabs>
        <w:textAlignment w:val="baseline"/>
        <w:rPr>
          <w:rStyle w:val="normaltextrun1"/>
          <w:rFonts w:ascii="Arial" w:hAnsi="Arial" w:cs="Arial"/>
          <w:i/>
          <w:sz w:val="22"/>
          <w:szCs w:val="22"/>
        </w:rPr>
      </w:pPr>
    </w:p>
    <w:p w14:paraId="780B1B8A" w14:textId="5D2C7E28" w:rsidR="00AA76C2" w:rsidRDefault="00AA76C2" w:rsidP="00D92B78">
      <w:pPr>
        <w:pStyle w:val="paragraph"/>
        <w:tabs>
          <w:tab w:val="left" w:pos="142"/>
        </w:tabs>
        <w:textAlignment w:val="baseline"/>
        <w:rPr>
          <w:rStyle w:val="normaltextrun1"/>
          <w:rFonts w:ascii="Arial" w:hAnsi="Arial" w:cs="Arial"/>
          <w:i/>
          <w:sz w:val="22"/>
          <w:szCs w:val="22"/>
        </w:rPr>
      </w:pPr>
    </w:p>
    <w:p w14:paraId="0EF0BCA5" w14:textId="4481BFF0" w:rsidR="00AA76C2" w:rsidRDefault="00AA76C2" w:rsidP="00D92B78">
      <w:pPr>
        <w:pStyle w:val="paragraph"/>
        <w:tabs>
          <w:tab w:val="left" w:pos="142"/>
        </w:tabs>
        <w:textAlignment w:val="baseline"/>
        <w:rPr>
          <w:rStyle w:val="normaltextrun1"/>
          <w:rFonts w:ascii="Arial" w:hAnsi="Arial" w:cs="Arial"/>
          <w:i/>
          <w:sz w:val="22"/>
          <w:szCs w:val="22"/>
        </w:rPr>
      </w:pPr>
    </w:p>
    <w:p w14:paraId="40AD244B" w14:textId="77777777" w:rsidR="00AA76C2" w:rsidRPr="00D92B78" w:rsidRDefault="00AA76C2" w:rsidP="00D92B78">
      <w:pPr>
        <w:pStyle w:val="paragraph"/>
        <w:tabs>
          <w:tab w:val="left" w:pos="142"/>
        </w:tabs>
        <w:textAlignment w:val="baseline"/>
        <w:rPr>
          <w:rStyle w:val="normaltextrun1"/>
          <w:rFonts w:ascii="Arial" w:hAnsi="Arial" w:cs="Arial"/>
          <w:i/>
          <w:sz w:val="22"/>
          <w:szCs w:val="22"/>
        </w:rPr>
      </w:pPr>
    </w:p>
    <w:p w14:paraId="01BF49EE" w14:textId="3D1A1633" w:rsidR="0041282E" w:rsidRPr="00D92B78" w:rsidRDefault="0041282E" w:rsidP="00D92B78">
      <w:pPr>
        <w:pStyle w:val="paragraph"/>
        <w:tabs>
          <w:tab w:val="left" w:pos="142"/>
        </w:tabs>
        <w:textAlignment w:val="baseline"/>
        <w:rPr>
          <w:rStyle w:val="normaltextrun1"/>
          <w:rFonts w:ascii="Arial" w:hAnsi="Arial" w:cs="Arial"/>
          <w:i/>
          <w:sz w:val="22"/>
          <w:szCs w:val="22"/>
        </w:rPr>
      </w:pPr>
      <w:r w:rsidRPr="00D92B78">
        <w:rPr>
          <w:rStyle w:val="normaltextrun1"/>
          <w:rFonts w:ascii="Arial" w:hAnsi="Arial" w:cs="Arial"/>
          <w:i/>
          <w:sz w:val="22"/>
          <w:szCs w:val="22"/>
        </w:rPr>
        <w:lastRenderedPageBreak/>
        <w:t xml:space="preserve">COVID-19 </w:t>
      </w:r>
    </w:p>
    <w:p w14:paraId="2283EB7B" w14:textId="77777777" w:rsidR="0041282E" w:rsidRPr="00D92B78" w:rsidRDefault="0041282E" w:rsidP="00D92B78">
      <w:pPr>
        <w:pStyle w:val="paragraph"/>
        <w:tabs>
          <w:tab w:val="left" w:pos="142"/>
        </w:tabs>
        <w:textAlignment w:val="baseline"/>
        <w:rPr>
          <w:rStyle w:val="normaltextrun1"/>
          <w:rFonts w:ascii="Arial" w:hAnsi="Arial" w:cs="Arial"/>
          <w:i/>
          <w:sz w:val="22"/>
          <w:szCs w:val="22"/>
        </w:rPr>
      </w:pPr>
    </w:p>
    <w:p w14:paraId="39ED941F" w14:textId="77777777" w:rsidR="0041282E" w:rsidRPr="00D92B78" w:rsidRDefault="0041282E" w:rsidP="00D92B78">
      <w:pPr>
        <w:pStyle w:val="ListParagraph"/>
        <w:keepLines/>
        <w:numPr>
          <w:ilvl w:val="0"/>
          <w:numId w:val="10"/>
        </w:numPr>
        <w:tabs>
          <w:tab w:val="left" w:pos="142"/>
        </w:tabs>
        <w:ind w:left="0"/>
        <w:rPr>
          <w:rStyle w:val="ReportTemplate"/>
        </w:rPr>
      </w:pPr>
      <w:r w:rsidRPr="00D92B78">
        <w:rPr>
          <w:rStyle w:val="ReportTemplate"/>
        </w:rPr>
        <w:t>The LGA continues to receive access to data from the monthly returns submitted to MHCLG on the financial challenges arising from COVID-19, which based on the January data amounts to over £10 billion</w:t>
      </w:r>
      <w:r w:rsidRPr="00D92B78">
        <w:rPr>
          <w:rStyle w:val="ReportTemplate"/>
          <w:rFonts w:eastAsia="Arial"/>
        </w:rPr>
        <w:t xml:space="preserve"> of in-year pressures (cost pressures and non-tax income losses), with a further £3 billion of local tax income losses, impacting budgets in 2021/22. This is prior to considering mitigating factors and Government support provided so far.</w:t>
      </w:r>
    </w:p>
    <w:p w14:paraId="6A5829D9" w14:textId="77777777" w:rsidR="0041282E" w:rsidRPr="00D92B78" w:rsidRDefault="0041282E" w:rsidP="00D92B78">
      <w:pPr>
        <w:pStyle w:val="ListParagraph"/>
        <w:keepLines/>
        <w:tabs>
          <w:tab w:val="left" w:pos="142"/>
        </w:tabs>
        <w:ind w:left="0"/>
        <w:rPr>
          <w:rStyle w:val="ReportTemplate"/>
        </w:rPr>
      </w:pPr>
    </w:p>
    <w:p w14:paraId="534A59B3" w14:textId="77777777" w:rsidR="0041282E" w:rsidRPr="00D92B78" w:rsidRDefault="0041282E" w:rsidP="00D92B78">
      <w:pPr>
        <w:pStyle w:val="ListParagraph"/>
        <w:keepLines/>
        <w:numPr>
          <w:ilvl w:val="0"/>
          <w:numId w:val="10"/>
        </w:numPr>
        <w:tabs>
          <w:tab w:val="left" w:pos="142"/>
        </w:tabs>
        <w:ind w:left="0"/>
        <w:rPr>
          <w:rStyle w:val="ReportTemplate"/>
        </w:rPr>
      </w:pPr>
      <w:r w:rsidRPr="00D92B78">
        <w:rPr>
          <w:rStyle w:val="ReportTemplate"/>
        </w:rPr>
        <w:t xml:space="preserve">Alongside the final settlement, the Government confirmed </w:t>
      </w:r>
      <w:hyperlink r:id="rId16">
        <w:r w:rsidRPr="00D92B78">
          <w:rPr>
            <w:rStyle w:val="Hyperlink"/>
          </w:rPr>
          <w:t>allocations</w:t>
        </w:r>
      </w:hyperlink>
      <w:r w:rsidRPr="00D92B78">
        <w:rPr>
          <w:rStyle w:val="ReportTemplate"/>
        </w:rPr>
        <w:t xml:space="preserve"> of the £670 million of local council tax support for 2021/22, and that the extended sales, fees, and charges compensation scheme for the first quarter of 2021/22. COVID-19 funding for local government in 2021/22 also includes £1.55 billion for cost pressures.</w:t>
      </w:r>
    </w:p>
    <w:p w14:paraId="66600922" w14:textId="77777777" w:rsidR="0041282E" w:rsidRPr="00D92B78" w:rsidRDefault="0041282E" w:rsidP="00D92B78">
      <w:pPr>
        <w:pStyle w:val="ListParagraph"/>
        <w:keepLines/>
        <w:tabs>
          <w:tab w:val="left" w:pos="142"/>
        </w:tabs>
        <w:ind w:left="0"/>
        <w:rPr>
          <w:rStyle w:val="ReportTemplate"/>
        </w:rPr>
      </w:pPr>
    </w:p>
    <w:p w14:paraId="0D4B46C7" w14:textId="77777777" w:rsidR="0041282E" w:rsidRPr="00D92B78" w:rsidRDefault="0041282E" w:rsidP="00D92B78">
      <w:pPr>
        <w:pStyle w:val="ListParagraph"/>
        <w:numPr>
          <w:ilvl w:val="0"/>
          <w:numId w:val="10"/>
        </w:numPr>
        <w:tabs>
          <w:tab w:val="left" w:pos="142"/>
        </w:tabs>
        <w:ind w:left="0" w:hanging="357"/>
      </w:pPr>
      <w:r w:rsidRPr="00D92B78">
        <w:t xml:space="preserve">The Public Accounts Committee is </w:t>
      </w:r>
      <w:hyperlink r:id="rId17">
        <w:r w:rsidRPr="00D92B78">
          <w:rPr>
            <w:rStyle w:val="Hyperlink"/>
          </w:rPr>
          <w:t>calling for evidence</w:t>
        </w:r>
      </w:hyperlink>
      <w:r w:rsidRPr="00D92B78">
        <w:t xml:space="preserve"> on the evolving financial pressures on local government and support provided by central government in the context of the COVID-19 pandemic. We will respond to this inquiry by the 11 March deadline.</w:t>
      </w:r>
    </w:p>
    <w:p w14:paraId="0967189C" w14:textId="77777777" w:rsidR="0041282E" w:rsidRPr="00D92B78" w:rsidRDefault="0041282E" w:rsidP="00D92B78">
      <w:pPr>
        <w:tabs>
          <w:tab w:val="left" w:pos="142"/>
        </w:tabs>
        <w:rPr>
          <w:rStyle w:val="normaltextrun1"/>
        </w:rPr>
      </w:pPr>
    </w:p>
    <w:p w14:paraId="5327C1BB" w14:textId="77777777" w:rsidR="0041282E" w:rsidRPr="00D92B78" w:rsidRDefault="0041282E" w:rsidP="00D92B78">
      <w:pPr>
        <w:pStyle w:val="ListParagraph"/>
        <w:tabs>
          <w:tab w:val="left" w:pos="142"/>
        </w:tabs>
        <w:ind w:left="0"/>
        <w:rPr>
          <w:rFonts w:eastAsia="Arial"/>
          <w:bCs/>
          <w:i/>
          <w:iCs/>
        </w:rPr>
      </w:pPr>
      <w:r w:rsidRPr="00D92B78">
        <w:rPr>
          <w:rFonts w:eastAsia="Arial"/>
          <w:bCs/>
          <w:i/>
          <w:iCs/>
        </w:rPr>
        <w:t>Financial sustainability</w:t>
      </w:r>
    </w:p>
    <w:p w14:paraId="37401174" w14:textId="77777777" w:rsidR="0041282E" w:rsidRPr="00D92B78" w:rsidDel="00BA5C80" w:rsidRDefault="0041282E" w:rsidP="00D92B78">
      <w:pPr>
        <w:pStyle w:val="ListParagraph"/>
        <w:tabs>
          <w:tab w:val="left" w:pos="142"/>
        </w:tabs>
        <w:ind w:left="0"/>
        <w:rPr>
          <w:rFonts w:eastAsia="Arial"/>
          <w:b/>
        </w:rPr>
      </w:pPr>
    </w:p>
    <w:p w14:paraId="4E545C28" w14:textId="698131FE" w:rsidR="0041282E" w:rsidRPr="00D92B78" w:rsidRDefault="0041282E" w:rsidP="00D92B78">
      <w:pPr>
        <w:pStyle w:val="ListParagraph"/>
        <w:numPr>
          <w:ilvl w:val="0"/>
          <w:numId w:val="10"/>
        </w:numPr>
        <w:tabs>
          <w:tab w:val="left" w:pos="142"/>
        </w:tabs>
        <w:ind w:left="0" w:hanging="357"/>
        <w:rPr>
          <w:rStyle w:val="normaltextrun1"/>
          <w:iCs/>
        </w:rPr>
      </w:pPr>
      <w:r w:rsidRPr="00D92B78" w:rsidDel="00BA5C80">
        <w:t>The Housing</w:t>
      </w:r>
      <w:r w:rsidRPr="00D92B78">
        <w:t>,</w:t>
      </w:r>
      <w:r w:rsidRPr="00D92B78" w:rsidDel="00BA5C80">
        <w:t xml:space="preserve"> Communities</w:t>
      </w:r>
      <w:r w:rsidRPr="00D92B78">
        <w:t xml:space="preserve"> and Local Government</w:t>
      </w:r>
      <w:r w:rsidRPr="00D92B78" w:rsidDel="00BA5C80">
        <w:t xml:space="preserve"> Select Committee is carrying out an inquiry into </w:t>
      </w:r>
      <w:hyperlink r:id="rId18">
        <w:r w:rsidRPr="00D92B78">
          <w:rPr>
            <w:rStyle w:val="Hyperlink"/>
          </w:rPr>
          <w:t>Local Authority Financial Sustainability and the Section 114 Regime</w:t>
        </w:r>
      </w:hyperlink>
      <w:r w:rsidRPr="00D92B78">
        <w:t>.</w:t>
      </w:r>
      <w:r w:rsidRPr="00D92B78" w:rsidDel="00BA5C80">
        <w:t xml:space="preserve"> Resources Board Lead Members approved a </w:t>
      </w:r>
      <w:hyperlink r:id="rId19">
        <w:r w:rsidRPr="00D92B78">
          <w:rPr>
            <w:rStyle w:val="Hyperlink"/>
          </w:rPr>
          <w:t>submission</w:t>
        </w:r>
      </w:hyperlink>
      <w:r w:rsidRPr="00D92B78" w:rsidDel="00BA5C80">
        <w:t xml:space="preserve"> to the inquiry and </w:t>
      </w:r>
      <w:r w:rsidRPr="00D92B78">
        <w:t>I</w:t>
      </w:r>
      <w:r w:rsidRPr="00D92B78" w:rsidDel="00BA5C80">
        <w:t xml:space="preserve"> gave oral </w:t>
      </w:r>
      <w:hyperlink r:id="rId20">
        <w:r w:rsidRPr="00D92B78">
          <w:rPr>
            <w:rStyle w:val="Hyperlink"/>
          </w:rPr>
          <w:t>evidence</w:t>
        </w:r>
      </w:hyperlink>
      <w:r w:rsidRPr="00D92B78" w:rsidDel="00BA5C80">
        <w:t xml:space="preserve"> to the committee on 8 February alongside the Chief Executive of CIPFA.</w:t>
      </w:r>
    </w:p>
    <w:p w14:paraId="1560536F" w14:textId="77777777" w:rsidR="0041282E" w:rsidRPr="00D92B78" w:rsidRDefault="0041282E" w:rsidP="00D92B78">
      <w:pPr>
        <w:tabs>
          <w:tab w:val="left" w:pos="142"/>
        </w:tabs>
        <w:rPr>
          <w:rStyle w:val="normaltextrun1"/>
          <w:iCs/>
        </w:rPr>
      </w:pPr>
    </w:p>
    <w:p w14:paraId="2B6D8831" w14:textId="77777777" w:rsidR="0041282E" w:rsidRPr="00D92B78" w:rsidRDefault="0041282E" w:rsidP="00D92B78">
      <w:pPr>
        <w:tabs>
          <w:tab w:val="left" w:pos="142"/>
        </w:tabs>
        <w:rPr>
          <w:rStyle w:val="normaltextrun1"/>
          <w:i/>
        </w:rPr>
      </w:pPr>
      <w:r w:rsidRPr="00D92B78">
        <w:rPr>
          <w:rStyle w:val="normaltextrun1"/>
          <w:i/>
        </w:rPr>
        <w:t>Green Book</w:t>
      </w:r>
    </w:p>
    <w:p w14:paraId="240E827D" w14:textId="77777777" w:rsidR="0041282E" w:rsidRPr="00D92B78" w:rsidRDefault="0041282E" w:rsidP="00D92B78">
      <w:pPr>
        <w:tabs>
          <w:tab w:val="left" w:pos="142"/>
        </w:tabs>
        <w:rPr>
          <w:rStyle w:val="normaltextrun1"/>
          <w:iCs/>
        </w:rPr>
      </w:pPr>
    </w:p>
    <w:p w14:paraId="5BB0C236" w14:textId="77777777" w:rsidR="0041282E" w:rsidRPr="00D92B78" w:rsidRDefault="0041282E" w:rsidP="00D92B78">
      <w:pPr>
        <w:pStyle w:val="ListParagraph"/>
        <w:numPr>
          <w:ilvl w:val="0"/>
          <w:numId w:val="10"/>
        </w:numPr>
        <w:tabs>
          <w:tab w:val="left" w:pos="142"/>
        </w:tabs>
        <w:ind w:left="0" w:hanging="357"/>
        <w:rPr>
          <w:rStyle w:val="normaltextrun1"/>
        </w:rPr>
      </w:pPr>
      <w:r w:rsidRPr="00D92B78">
        <w:t xml:space="preserve">As part of its </w:t>
      </w:r>
      <w:hyperlink r:id="rId21">
        <w:r w:rsidRPr="00D92B78">
          <w:rPr>
            <w:rStyle w:val="Hyperlink"/>
          </w:rPr>
          <w:t>review of the 2020 Spending Review</w:t>
        </w:r>
      </w:hyperlink>
      <w:r w:rsidRPr="00D92B78">
        <w:t xml:space="preserve">, the Treasury Select Committee has issued a call for evidence on changes to HM Treasury’s Green Book. Resources Board Lead Members approved a submission to this inquiry. </w:t>
      </w:r>
      <w:r w:rsidRPr="00D92B78">
        <w:rPr>
          <w:rStyle w:val="normaltextrun1"/>
          <w:iCs/>
        </w:rPr>
        <w:t>While noting that the Green Book process remains centrally driven overall, we welcomed the intention to take a more rounded approach to reflecting on local policies, strategies, and plans.</w:t>
      </w:r>
    </w:p>
    <w:p w14:paraId="498D8D26" w14:textId="77777777" w:rsidR="0041282E" w:rsidRPr="00D92B78" w:rsidRDefault="0041282E" w:rsidP="00D92B78">
      <w:pPr>
        <w:tabs>
          <w:tab w:val="left" w:pos="142"/>
        </w:tabs>
        <w:rPr>
          <w:rStyle w:val="normaltextrun1"/>
          <w:iCs/>
        </w:rPr>
      </w:pPr>
    </w:p>
    <w:p w14:paraId="566CC491" w14:textId="77777777" w:rsidR="0041282E" w:rsidRPr="00D92B78" w:rsidRDefault="0041282E" w:rsidP="00D92B78">
      <w:pPr>
        <w:tabs>
          <w:tab w:val="left" w:pos="142"/>
        </w:tabs>
        <w:rPr>
          <w:rStyle w:val="normaltextrun1"/>
          <w:i/>
        </w:rPr>
      </w:pPr>
      <w:r w:rsidRPr="00D92B78">
        <w:rPr>
          <w:rStyle w:val="normaltextrun1"/>
          <w:i/>
        </w:rPr>
        <w:t>The Public Sector Audit Appointment (PSAA) consultation</w:t>
      </w:r>
    </w:p>
    <w:p w14:paraId="25BDDFBF" w14:textId="77777777" w:rsidR="0041282E" w:rsidRPr="00D92B78" w:rsidRDefault="0041282E" w:rsidP="00D92B78">
      <w:pPr>
        <w:tabs>
          <w:tab w:val="left" w:pos="142"/>
        </w:tabs>
        <w:rPr>
          <w:rStyle w:val="normaltextrun1"/>
          <w:i/>
        </w:rPr>
      </w:pPr>
    </w:p>
    <w:p w14:paraId="003D598A" w14:textId="77777777" w:rsidR="0041282E" w:rsidRPr="00D92B78" w:rsidRDefault="0041282E" w:rsidP="00D92B78">
      <w:pPr>
        <w:pStyle w:val="ListParagraph"/>
        <w:numPr>
          <w:ilvl w:val="0"/>
          <w:numId w:val="10"/>
        </w:numPr>
        <w:tabs>
          <w:tab w:val="left" w:pos="142"/>
        </w:tabs>
        <w:ind w:left="0" w:hanging="357"/>
        <w:rPr>
          <w:rStyle w:val="normaltextrun1"/>
          <w:iCs/>
        </w:rPr>
      </w:pPr>
      <w:r w:rsidRPr="00D92B78">
        <w:t xml:space="preserve">The Public Sector Audit Appointment (PSAA) closed their consultation on </w:t>
      </w:r>
      <w:hyperlink r:id="rId22">
        <w:r w:rsidRPr="00D92B78">
          <w:rPr>
            <w:rStyle w:val="Hyperlink"/>
          </w:rPr>
          <w:t>audit scale fees for 2021/22</w:t>
        </w:r>
      </w:hyperlink>
      <w:r w:rsidRPr="00D92B78">
        <w:t xml:space="preserve"> on 19 February. Our</w:t>
      </w:r>
      <w:hyperlink r:id="rId23">
        <w:r w:rsidRPr="00D92B78">
          <w:rPr>
            <w:rStyle w:val="Hyperlink"/>
          </w:rPr>
          <w:t xml:space="preserve"> response to the scale fee consultation</w:t>
        </w:r>
      </w:hyperlink>
      <w:r w:rsidRPr="00D92B78">
        <w:t xml:space="preserve"> was approved by Resources Board Lead Members and was supportive of PSAA’s proposals but highlighted that a great deal of information will still be unknown leaving councils (and auditors) with a lot of uncertainty.</w:t>
      </w:r>
    </w:p>
    <w:p w14:paraId="3AD9E542" w14:textId="5A7786BA" w:rsidR="002E0C16" w:rsidRPr="00D92B78" w:rsidRDefault="002E0C16" w:rsidP="00D92B78">
      <w:pPr>
        <w:tabs>
          <w:tab w:val="left" w:pos="142"/>
        </w:tabs>
      </w:pPr>
    </w:p>
    <w:p w14:paraId="36787832" w14:textId="77777777" w:rsidR="0000712B" w:rsidRPr="00D92B78" w:rsidRDefault="0000712B" w:rsidP="00D92B78">
      <w:pPr>
        <w:tabs>
          <w:tab w:val="left" w:pos="142"/>
        </w:tabs>
      </w:pPr>
    </w:p>
    <w:p w14:paraId="780E3BB5" w14:textId="35E28D39" w:rsidR="00403ED7" w:rsidRPr="00D92B78" w:rsidRDefault="002E0C16" w:rsidP="00D92B78">
      <w:pPr>
        <w:tabs>
          <w:tab w:val="left" w:pos="142"/>
        </w:tabs>
        <w:rPr>
          <w:b/>
          <w:bCs/>
          <w:sz w:val="24"/>
          <w:szCs w:val="24"/>
        </w:rPr>
      </w:pPr>
      <w:r w:rsidRPr="00D92B78">
        <w:rPr>
          <w:b/>
          <w:bCs/>
          <w:sz w:val="24"/>
          <w:szCs w:val="24"/>
        </w:rPr>
        <w:t>Workforce Update</w:t>
      </w:r>
    </w:p>
    <w:p w14:paraId="29CF6D2C" w14:textId="77777777" w:rsidR="00D4090E" w:rsidRPr="00D92B78" w:rsidRDefault="00D4090E" w:rsidP="00D92B78">
      <w:pPr>
        <w:tabs>
          <w:tab w:val="left" w:pos="142"/>
        </w:tabs>
      </w:pPr>
    </w:p>
    <w:p w14:paraId="7D0D8478" w14:textId="04D0BFC3" w:rsidR="00D4090E" w:rsidRPr="00D92B78" w:rsidRDefault="00D4090E" w:rsidP="00D92B78">
      <w:pPr>
        <w:tabs>
          <w:tab w:val="left" w:pos="142"/>
        </w:tabs>
        <w:rPr>
          <w:i/>
          <w:iCs/>
        </w:rPr>
      </w:pPr>
      <w:r w:rsidRPr="00D92B78">
        <w:rPr>
          <w:i/>
          <w:iCs/>
        </w:rPr>
        <w:t>Local Government</w:t>
      </w:r>
      <w:r w:rsidR="00D43CC4" w:rsidRPr="00D92B78">
        <w:rPr>
          <w:i/>
          <w:iCs/>
        </w:rPr>
        <w:t xml:space="preserve"> </w:t>
      </w:r>
      <w:r w:rsidR="00DA5D72" w:rsidRPr="00D92B78">
        <w:rPr>
          <w:i/>
          <w:iCs/>
        </w:rPr>
        <w:t xml:space="preserve">- </w:t>
      </w:r>
      <w:r w:rsidRPr="00D92B78">
        <w:rPr>
          <w:i/>
          <w:iCs/>
        </w:rPr>
        <w:t>Pay 2021</w:t>
      </w:r>
    </w:p>
    <w:p w14:paraId="0A9FDB7E" w14:textId="77777777" w:rsidR="00D4090E" w:rsidRPr="00D92B78" w:rsidRDefault="00D4090E" w:rsidP="00D92B78">
      <w:pPr>
        <w:tabs>
          <w:tab w:val="left" w:pos="142"/>
        </w:tabs>
        <w:rPr>
          <w:i/>
          <w:iCs/>
        </w:rPr>
      </w:pPr>
    </w:p>
    <w:p w14:paraId="31B439D4" w14:textId="30415D63" w:rsidR="00D4090E" w:rsidRPr="00D92B78" w:rsidRDefault="00D4090E" w:rsidP="00D92B78">
      <w:pPr>
        <w:pStyle w:val="ListParagraph"/>
        <w:numPr>
          <w:ilvl w:val="0"/>
          <w:numId w:val="10"/>
        </w:numPr>
        <w:tabs>
          <w:tab w:val="left" w:pos="142"/>
        </w:tabs>
        <w:ind w:left="0"/>
        <w:rPr>
          <w:color w:val="000000" w:themeColor="text1"/>
        </w:rPr>
      </w:pPr>
      <w:r w:rsidRPr="00D92B78">
        <w:rPr>
          <w:rFonts w:eastAsia="Arial"/>
        </w:rPr>
        <w:t>The NJC unions (UNISON, GMB and Unite) have lodged pay and T&amp;Cs claims for local government (‘Green Book’) staff for 2021 which seek a 10% pay award and a range of improved terms and conditions. Councils will be consulted during March at the usual round of [virtual] regional pay consultation briefings. The National Employers will then consider feedback from those events before responding formally to the unions. The National Employers met on 18 February and will respond formally after the local elections of 6 May.</w:t>
      </w:r>
    </w:p>
    <w:p w14:paraId="6A1B57AC" w14:textId="7A24D450" w:rsidR="00D4090E" w:rsidRDefault="00D4090E" w:rsidP="00D92B78">
      <w:pPr>
        <w:tabs>
          <w:tab w:val="left" w:pos="142"/>
        </w:tabs>
      </w:pPr>
    </w:p>
    <w:p w14:paraId="71F20D7A" w14:textId="6DFBEA71" w:rsidR="00D5076C" w:rsidRDefault="00D5076C" w:rsidP="00D92B78">
      <w:pPr>
        <w:tabs>
          <w:tab w:val="left" w:pos="142"/>
        </w:tabs>
      </w:pPr>
    </w:p>
    <w:p w14:paraId="745DEB42" w14:textId="521726B5" w:rsidR="00D5076C" w:rsidRDefault="00D5076C" w:rsidP="00D92B78">
      <w:pPr>
        <w:tabs>
          <w:tab w:val="left" w:pos="142"/>
        </w:tabs>
      </w:pPr>
    </w:p>
    <w:p w14:paraId="5D34BE9A" w14:textId="77777777" w:rsidR="00D5076C" w:rsidRPr="00D92B78" w:rsidRDefault="00D5076C" w:rsidP="00D92B78">
      <w:pPr>
        <w:tabs>
          <w:tab w:val="left" w:pos="142"/>
        </w:tabs>
      </w:pPr>
    </w:p>
    <w:p w14:paraId="4BEDF138" w14:textId="2D8B7129" w:rsidR="00D4090E" w:rsidRPr="00D92B78" w:rsidRDefault="00D4090E" w:rsidP="00D92B78">
      <w:pPr>
        <w:tabs>
          <w:tab w:val="left" w:pos="142"/>
        </w:tabs>
        <w:rPr>
          <w:i/>
          <w:iCs/>
        </w:rPr>
      </w:pPr>
      <w:r w:rsidRPr="00D92B78">
        <w:rPr>
          <w:i/>
          <w:iCs/>
        </w:rPr>
        <w:lastRenderedPageBreak/>
        <w:t>Fire</w:t>
      </w:r>
      <w:r w:rsidR="00633C63" w:rsidRPr="00D92B78">
        <w:rPr>
          <w:i/>
          <w:iCs/>
        </w:rPr>
        <w:t xml:space="preserve"> </w:t>
      </w:r>
      <w:r w:rsidRPr="00D92B78">
        <w:rPr>
          <w:i/>
          <w:iCs/>
        </w:rPr>
        <w:t>Pay 2021</w:t>
      </w:r>
      <w:r w:rsidR="002C2584" w:rsidRPr="00D92B78">
        <w:rPr>
          <w:i/>
          <w:iCs/>
        </w:rPr>
        <w:t xml:space="preserve"> &amp; Core Code of Ethics</w:t>
      </w:r>
    </w:p>
    <w:p w14:paraId="024BC950" w14:textId="77777777" w:rsidR="00D4090E" w:rsidRPr="00D92B78" w:rsidRDefault="00D4090E" w:rsidP="00D92B78">
      <w:pPr>
        <w:tabs>
          <w:tab w:val="left" w:pos="142"/>
        </w:tabs>
        <w:rPr>
          <w:i/>
          <w:iCs/>
        </w:rPr>
      </w:pPr>
    </w:p>
    <w:p w14:paraId="56897083" w14:textId="40EBF9EB" w:rsidR="00D4090E" w:rsidRPr="00D92B78" w:rsidRDefault="00D4090E" w:rsidP="00D92B78">
      <w:pPr>
        <w:pStyle w:val="ListParagraph"/>
        <w:numPr>
          <w:ilvl w:val="0"/>
          <w:numId w:val="10"/>
        </w:numPr>
        <w:tabs>
          <w:tab w:val="left" w:pos="142"/>
        </w:tabs>
        <w:ind w:left="0"/>
        <w:contextualSpacing w:val="0"/>
      </w:pPr>
      <w:r w:rsidRPr="00D92B78">
        <w:t xml:space="preserve">The pay settlement dates for the two fire negotiating bodies are 1 January for senior managers and 31 July for uniformed employees. A claim has not yet been received in respect of the former. Early discussions are underway in respect of the latter. Fire and rescue authority Chairs and chief fire officers will be consulted in due course. </w:t>
      </w:r>
    </w:p>
    <w:p w14:paraId="42128924" w14:textId="77777777" w:rsidR="00D4090E" w:rsidRPr="00D92B78" w:rsidRDefault="00D4090E" w:rsidP="00D92B78">
      <w:pPr>
        <w:tabs>
          <w:tab w:val="left" w:pos="142"/>
        </w:tabs>
      </w:pPr>
    </w:p>
    <w:p w14:paraId="5C24075D" w14:textId="77777777" w:rsidR="00D4090E" w:rsidRPr="00D92B78" w:rsidRDefault="00D4090E" w:rsidP="00D92B78">
      <w:pPr>
        <w:pStyle w:val="NoSpacing"/>
        <w:numPr>
          <w:ilvl w:val="0"/>
          <w:numId w:val="10"/>
        </w:numPr>
        <w:tabs>
          <w:tab w:val="left" w:pos="142"/>
        </w:tabs>
        <w:ind w:left="0"/>
        <w:rPr>
          <w:rFonts w:ascii="Arial" w:hAnsi="Arial" w:cs="Arial"/>
          <w:sz w:val="22"/>
          <w:szCs w:val="22"/>
        </w:rPr>
      </w:pPr>
      <w:r w:rsidRPr="00D92B78">
        <w:rPr>
          <w:rFonts w:ascii="Arial" w:hAnsi="Arial" w:cs="Arial"/>
          <w:sz w:val="22"/>
          <w:szCs w:val="22"/>
        </w:rPr>
        <w:t xml:space="preserve">The LGA is working in partnership with the National Fire Chiefs Council and Association of Police and Crime Commissioners to develop a fire service Core Code of Ethics. Launch of the Core Code is currently expected at the end of March and will include support for implementation at local level.   </w:t>
      </w:r>
    </w:p>
    <w:p w14:paraId="6D3B5A17" w14:textId="77777777" w:rsidR="00D4090E" w:rsidRPr="00D92B78" w:rsidRDefault="00D4090E" w:rsidP="00D92B78">
      <w:pPr>
        <w:tabs>
          <w:tab w:val="left" w:pos="142"/>
        </w:tabs>
        <w:rPr>
          <w:b/>
          <w:bCs/>
        </w:rPr>
      </w:pPr>
    </w:p>
    <w:p w14:paraId="7B680B69" w14:textId="345AFF41" w:rsidR="003B7C9C" w:rsidRPr="00D92B78" w:rsidRDefault="00D4090E" w:rsidP="00D92B78">
      <w:pPr>
        <w:tabs>
          <w:tab w:val="left" w:pos="142"/>
        </w:tabs>
        <w:rPr>
          <w:i/>
          <w:iCs/>
        </w:rPr>
      </w:pPr>
      <w:r w:rsidRPr="00D92B78">
        <w:rPr>
          <w:i/>
          <w:iCs/>
        </w:rPr>
        <w:t>Education</w:t>
      </w:r>
      <w:r w:rsidR="003B7C9C" w:rsidRPr="00D92B78">
        <w:rPr>
          <w:i/>
          <w:iCs/>
        </w:rPr>
        <w:t xml:space="preserve"> - </w:t>
      </w:r>
      <w:r w:rsidRPr="00D92B78">
        <w:rPr>
          <w:i/>
          <w:iCs/>
        </w:rPr>
        <w:t>Teachers’ Pay 2021</w:t>
      </w:r>
    </w:p>
    <w:p w14:paraId="21FF2ED7" w14:textId="77777777" w:rsidR="003B7C9C" w:rsidRPr="00D92B78" w:rsidRDefault="003B7C9C" w:rsidP="00D92B78">
      <w:pPr>
        <w:tabs>
          <w:tab w:val="left" w:pos="142"/>
        </w:tabs>
        <w:rPr>
          <w:i/>
          <w:iCs/>
        </w:rPr>
      </w:pPr>
    </w:p>
    <w:p w14:paraId="220C0585" w14:textId="382F1BDA" w:rsidR="00D4090E" w:rsidRPr="00D92B78" w:rsidRDefault="00D4090E" w:rsidP="00D92B78">
      <w:pPr>
        <w:pStyle w:val="NormalWeb"/>
        <w:numPr>
          <w:ilvl w:val="0"/>
          <w:numId w:val="10"/>
        </w:numPr>
        <w:pBdr>
          <w:top w:val="nil"/>
          <w:left w:val="nil"/>
          <w:bottom w:val="nil"/>
          <w:right w:val="nil"/>
          <w:between w:val="nil"/>
          <w:bar w:val="nil"/>
        </w:pBdr>
        <w:shd w:val="clear" w:color="auto" w:fill="FFFFFF" w:themeFill="background1"/>
        <w:tabs>
          <w:tab w:val="left" w:pos="142"/>
        </w:tabs>
        <w:spacing w:before="0" w:beforeAutospacing="0" w:after="0" w:afterAutospacing="0"/>
        <w:ind w:left="0"/>
        <w:rPr>
          <w:rFonts w:ascii="Arial" w:hAnsi="Arial" w:cs="Arial"/>
          <w:sz w:val="22"/>
          <w:szCs w:val="22"/>
        </w:rPr>
      </w:pPr>
      <w:r w:rsidRPr="00D92B78">
        <w:rPr>
          <w:rFonts w:ascii="Arial" w:hAnsi="Arial" w:cs="Arial"/>
          <w:sz w:val="22"/>
          <w:szCs w:val="22"/>
        </w:rPr>
        <w:t xml:space="preserve">Councils had the opportunity to respond to national employers (NEOST) written response to independent pay review body (STRB) which was signed off by members and submitted on 17 February. You can read the main submission </w:t>
      </w:r>
      <w:hyperlink r:id="rId24" w:history="1">
        <w:r w:rsidRPr="00D92B78">
          <w:rPr>
            <w:rStyle w:val="Hyperlink"/>
            <w:rFonts w:ascii="Arial" w:hAnsi="Arial" w:cs="Arial"/>
            <w:sz w:val="22"/>
            <w:szCs w:val="22"/>
          </w:rPr>
          <w:t>here</w:t>
        </w:r>
      </w:hyperlink>
      <w:r w:rsidRPr="00D92B78">
        <w:rPr>
          <w:rFonts w:ascii="Arial" w:hAnsi="Arial" w:cs="Arial"/>
          <w:sz w:val="22"/>
          <w:szCs w:val="22"/>
        </w:rPr>
        <w:t xml:space="preserve">. </w:t>
      </w:r>
    </w:p>
    <w:p w14:paraId="276540E1" w14:textId="1B083ED6" w:rsidR="00D4090E" w:rsidRPr="00D92B78" w:rsidRDefault="00D4090E" w:rsidP="00D92B78">
      <w:pPr>
        <w:pStyle w:val="NormalWeb"/>
        <w:shd w:val="clear" w:color="auto" w:fill="FFFFFF"/>
        <w:tabs>
          <w:tab w:val="left" w:pos="142"/>
        </w:tabs>
        <w:rPr>
          <w:rFonts w:ascii="Arial" w:hAnsi="Arial" w:cs="Arial"/>
          <w:i/>
          <w:iCs/>
          <w:sz w:val="22"/>
          <w:szCs w:val="22"/>
        </w:rPr>
      </w:pPr>
      <w:proofErr w:type="spellStart"/>
      <w:r w:rsidRPr="00D92B78">
        <w:rPr>
          <w:rFonts w:ascii="Arial" w:hAnsi="Arial" w:cs="Arial"/>
          <w:i/>
          <w:iCs/>
          <w:sz w:val="22"/>
          <w:szCs w:val="22"/>
        </w:rPr>
        <w:t>Soulbury</w:t>
      </w:r>
      <w:proofErr w:type="spellEnd"/>
      <w:r w:rsidRPr="00D92B78">
        <w:rPr>
          <w:rFonts w:ascii="Arial" w:hAnsi="Arial" w:cs="Arial"/>
          <w:i/>
          <w:iCs/>
          <w:sz w:val="22"/>
          <w:szCs w:val="22"/>
        </w:rPr>
        <w:t xml:space="preserve"> </w:t>
      </w:r>
    </w:p>
    <w:p w14:paraId="7276D0AD" w14:textId="77777777" w:rsidR="00D4090E" w:rsidRPr="00D92B78" w:rsidRDefault="00D4090E" w:rsidP="00D92B78">
      <w:pPr>
        <w:pStyle w:val="NormalWeb"/>
        <w:numPr>
          <w:ilvl w:val="0"/>
          <w:numId w:val="10"/>
        </w:numPr>
        <w:shd w:val="clear" w:color="auto" w:fill="FFFFFF"/>
        <w:tabs>
          <w:tab w:val="left" w:pos="142"/>
        </w:tabs>
        <w:spacing w:before="0" w:beforeAutospacing="0" w:after="0" w:afterAutospacing="0"/>
        <w:ind w:left="0"/>
        <w:jc w:val="both"/>
        <w:rPr>
          <w:rFonts w:ascii="Arial" w:hAnsi="Arial" w:cs="Arial"/>
          <w:sz w:val="22"/>
          <w:szCs w:val="22"/>
        </w:rPr>
      </w:pPr>
      <w:r w:rsidRPr="00D92B78">
        <w:rPr>
          <w:rFonts w:ascii="Arial" w:hAnsi="Arial" w:cs="Arial"/>
          <w:sz w:val="22"/>
          <w:szCs w:val="22"/>
        </w:rPr>
        <w:t xml:space="preserve">The Staff Associations on the </w:t>
      </w:r>
      <w:proofErr w:type="spellStart"/>
      <w:r w:rsidRPr="00D92B78">
        <w:rPr>
          <w:rFonts w:ascii="Arial" w:hAnsi="Arial" w:cs="Arial"/>
          <w:sz w:val="22"/>
          <w:szCs w:val="22"/>
        </w:rPr>
        <w:t>Soulbury</w:t>
      </w:r>
      <w:proofErr w:type="spellEnd"/>
      <w:r w:rsidRPr="00D92B78">
        <w:rPr>
          <w:rFonts w:ascii="Arial" w:hAnsi="Arial" w:cs="Arial"/>
          <w:sz w:val="22"/>
          <w:szCs w:val="22"/>
        </w:rPr>
        <w:t xml:space="preserve"> Committee have submitted proposals for a review of pay spines and structures which the National Employers will consult on.</w:t>
      </w:r>
    </w:p>
    <w:p w14:paraId="6BA8F0CC" w14:textId="18673859" w:rsidR="00D4090E" w:rsidRPr="00D92B78" w:rsidRDefault="00D4090E" w:rsidP="00D92B78">
      <w:pPr>
        <w:pStyle w:val="NormalWeb"/>
        <w:shd w:val="clear" w:color="auto" w:fill="FFFFFF"/>
        <w:tabs>
          <w:tab w:val="left" w:pos="142"/>
        </w:tabs>
        <w:rPr>
          <w:rFonts w:ascii="Arial" w:hAnsi="Arial" w:cs="Arial"/>
          <w:i/>
          <w:iCs/>
          <w:sz w:val="22"/>
          <w:szCs w:val="22"/>
        </w:rPr>
      </w:pPr>
      <w:r w:rsidRPr="00D92B78">
        <w:rPr>
          <w:rFonts w:ascii="Arial" w:hAnsi="Arial" w:cs="Arial"/>
          <w:i/>
          <w:iCs/>
          <w:sz w:val="22"/>
          <w:szCs w:val="22"/>
        </w:rPr>
        <w:t>Youth and Community</w:t>
      </w:r>
    </w:p>
    <w:p w14:paraId="3FAA28A0" w14:textId="06EB81A9" w:rsidR="00D4090E" w:rsidRPr="00D92B78" w:rsidRDefault="00D4090E" w:rsidP="00D92B78">
      <w:pPr>
        <w:pStyle w:val="NormalWeb"/>
        <w:numPr>
          <w:ilvl w:val="0"/>
          <w:numId w:val="10"/>
        </w:numPr>
        <w:shd w:val="clear" w:color="auto" w:fill="FFFFFF"/>
        <w:tabs>
          <w:tab w:val="left" w:pos="142"/>
        </w:tabs>
        <w:spacing w:before="0" w:beforeAutospacing="0" w:after="0" w:afterAutospacing="0"/>
        <w:ind w:left="0"/>
        <w:jc w:val="both"/>
        <w:rPr>
          <w:rFonts w:ascii="Arial" w:hAnsi="Arial" w:cs="Arial"/>
          <w:sz w:val="22"/>
          <w:szCs w:val="22"/>
        </w:rPr>
      </w:pPr>
      <w:r w:rsidRPr="00D92B78">
        <w:rPr>
          <w:rFonts w:ascii="Arial" w:hAnsi="Arial" w:cs="Arial"/>
          <w:sz w:val="22"/>
          <w:szCs w:val="22"/>
        </w:rPr>
        <w:t>The National Employers will coordinate a joint workforce survey of local authorities and voluntary providers over the next month, including a gender/ethnicity pay audit.</w:t>
      </w:r>
    </w:p>
    <w:p w14:paraId="13D9E140" w14:textId="77777777" w:rsidR="00EE10ED" w:rsidRPr="00D92B78" w:rsidRDefault="00EE10ED" w:rsidP="00D92B78">
      <w:pPr>
        <w:pStyle w:val="NormalWeb"/>
        <w:shd w:val="clear" w:color="auto" w:fill="FFFFFF"/>
        <w:tabs>
          <w:tab w:val="left" w:pos="142"/>
        </w:tabs>
        <w:spacing w:before="0" w:beforeAutospacing="0" w:after="0" w:afterAutospacing="0"/>
        <w:jc w:val="both"/>
        <w:rPr>
          <w:rFonts w:ascii="Arial" w:hAnsi="Arial" w:cs="Arial"/>
          <w:sz w:val="22"/>
          <w:szCs w:val="22"/>
        </w:rPr>
      </w:pPr>
    </w:p>
    <w:p w14:paraId="7DE54C73" w14:textId="77777777" w:rsidR="00D4090E" w:rsidRPr="001F4AEB" w:rsidRDefault="00D4090E" w:rsidP="00D92B78">
      <w:pPr>
        <w:tabs>
          <w:tab w:val="left" w:pos="142"/>
        </w:tabs>
        <w:rPr>
          <w:i/>
          <w:iCs/>
        </w:rPr>
      </w:pPr>
      <w:r w:rsidRPr="001F4AEB">
        <w:rPr>
          <w:i/>
          <w:iCs/>
        </w:rPr>
        <w:t xml:space="preserve">Public Sector Exit Payments – Judicial Reviews </w:t>
      </w:r>
    </w:p>
    <w:p w14:paraId="60B2DF2C" w14:textId="77777777" w:rsidR="00D4090E" w:rsidRPr="00D92B78" w:rsidRDefault="00D4090E" w:rsidP="00D92B78">
      <w:pPr>
        <w:tabs>
          <w:tab w:val="left" w:pos="142"/>
        </w:tabs>
        <w:rPr>
          <w:b/>
          <w:bCs/>
        </w:rPr>
      </w:pPr>
    </w:p>
    <w:p w14:paraId="49287D84" w14:textId="77777777" w:rsidR="00D4090E" w:rsidRPr="00D92B78" w:rsidRDefault="00D4090E" w:rsidP="00D92B78">
      <w:pPr>
        <w:pStyle w:val="ListParagraph"/>
        <w:numPr>
          <w:ilvl w:val="0"/>
          <w:numId w:val="10"/>
        </w:numPr>
        <w:pBdr>
          <w:top w:val="nil"/>
          <w:left w:val="nil"/>
          <w:bottom w:val="nil"/>
          <w:right w:val="nil"/>
          <w:between w:val="nil"/>
          <w:bar w:val="nil"/>
        </w:pBdr>
        <w:tabs>
          <w:tab w:val="left" w:pos="142"/>
        </w:tabs>
        <w:ind w:left="0"/>
        <w:contextualSpacing w:val="0"/>
        <w:rPr>
          <w:rFonts w:eastAsia="Arial"/>
          <w:color w:val="000000" w:themeColor="text1"/>
        </w:rPr>
      </w:pPr>
      <w:r w:rsidRPr="00D92B78">
        <w:rPr>
          <w:rFonts w:eastAsia="Arial"/>
          <w:color w:val="000000" w:themeColor="text1"/>
        </w:rPr>
        <w:t xml:space="preserve">HM Treasury issued Directions on 12 February disapplying sections of the ‘Restriction in Public Sector Exit Payments Regulations 2020’, after a review of the impact of the regulations brought to light ‘unintended consequences’. </w:t>
      </w:r>
    </w:p>
    <w:p w14:paraId="31640553" w14:textId="77777777" w:rsidR="00D4090E" w:rsidRPr="00D92B78" w:rsidRDefault="00D4090E" w:rsidP="00D92B78">
      <w:pPr>
        <w:pStyle w:val="ListParagraph"/>
        <w:tabs>
          <w:tab w:val="left" w:pos="142"/>
        </w:tabs>
        <w:ind w:left="0"/>
        <w:rPr>
          <w:rFonts w:eastAsia="Arial"/>
          <w:color w:val="000000" w:themeColor="text1"/>
        </w:rPr>
      </w:pPr>
    </w:p>
    <w:p w14:paraId="652D08DB" w14:textId="77777777" w:rsidR="00D4090E" w:rsidRPr="00D92B78" w:rsidRDefault="00D4090E" w:rsidP="00D92B78">
      <w:pPr>
        <w:pStyle w:val="ListParagraph"/>
        <w:numPr>
          <w:ilvl w:val="0"/>
          <w:numId w:val="10"/>
        </w:numPr>
        <w:pBdr>
          <w:top w:val="nil"/>
          <w:left w:val="nil"/>
          <w:bottom w:val="nil"/>
          <w:right w:val="nil"/>
          <w:between w:val="nil"/>
          <w:bar w:val="nil"/>
        </w:pBdr>
        <w:tabs>
          <w:tab w:val="left" w:pos="142"/>
        </w:tabs>
        <w:ind w:left="0"/>
        <w:contextualSpacing w:val="0"/>
        <w:rPr>
          <w:color w:val="000000" w:themeColor="text1"/>
        </w:rPr>
      </w:pPr>
      <w:r w:rsidRPr="00D92B78">
        <w:rPr>
          <w:rFonts w:eastAsia="Arial"/>
          <w:color w:val="000000" w:themeColor="text1"/>
        </w:rPr>
        <w:t>The directions effectively ‘switch off’ the cap for all employees who leave after that date. Government intends to revoke the regulations as soon as parliamentary time allows but further provisions will be made to restrict ‘unjustified’ payments ‘at pace’.</w:t>
      </w:r>
    </w:p>
    <w:p w14:paraId="0BB9B33F" w14:textId="77777777" w:rsidR="00D4090E" w:rsidRPr="00D92B78" w:rsidRDefault="00D4090E" w:rsidP="00D92B78">
      <w:pPr>
        <w:tabs>
          <w:tab w:val="left" w:pos="142"/>
        </w:tabs>
        <w:rPr>
          <w:rFonts w:eastAsia="Arial"/>
          <w:color w:val="000000" w:themeColor="text1"/>
        </w:rPr>
      </w:pPr>
    </w:p>
    <w:p w14:paraId="6E1E2AC3" w14:textId="77777777" w:rsidR="00D4090E" w:rsidRPr="00D92B78" w:rsidRDefault="00D4090E" w:rsidP="00D92B78">
      <w:pPr>
        <w:pStyle w:val="ListParagraph"/>
        <w:numPr>
          <w:ilvl w:val="0"/>
          <w:numId w:val="10"/>
        </w:numPr>
        <w:pBdr>
          <w:top w:val="nil"/>
          <w:left w:val="nil"/>
          <w:bottom w:val="nil"/>
          <w:right w:val="nil"/>
          <w:between w:val="nil"/>
          <w:bar w:val="nil"/>
        </w:pBdr>
        <w:tabs>
          <w:tab w:val="left" w:pos="142"/>
        </w:tabs>
        <w:ind w:left="0"/>
        <w:contextualSpacing w:val="0"/>
        <w:rPr>
          <w:rFonts w:eastAsia="Arial"/>
          <w:color w:val="000000" w:themeColor="text1"/>
        </w:rPr>
      </w:pPr>
      <w:r w:rsidRPr="00D92B78">
        <w:rPr>
          <w:color w:val="000000" w:themeColor="text1"/>
        </w:rPr>
        <w:t xml:space="preserve">HMT has issued guidance ‘encouraging and expecting’ employers to revisit leavers since 4 November 2020 and make payments as if the cap was not in force. HMT issued a statutory instrument revoking the regulations however, there remains a lack of clarity over the process for reviewing capped exits.  </w:t>
      </w:r>
    </w:p>
    <w:p w14:paraId="165B617F" w14:textId="77777777" w:rsidR="00D4090E" w:rsidRPr="00D92B78" w:rsidRDefault="00D4090E" w:rsidP="00D92B78">
      <w:pPr>
        <w:tabs>
          <w:tab w:val="left" w:pos="142"/>
        </w:tabs>
        <w:rPr>
          <w:rFonts w:eastAsia="Arial"/>
          <w:color w:val="000000" w:themeColor="text1"/>
        </w:rPr>
      </w:pPr>
    </w:p>
    <w:p w14:paraId="4AB7F2EB" w14:textId="49A01A92" w:rsidR="00D4090E" w:rsidRPr="00D92B78" w:rsidRDefault="00D4090E" w:rsidP="00D92B78">
      <w:pPr>
        <w:pStyle w:val="ListParagraph"/>
        <w:numPr>
          <w:ilvl w:val="0"/>
          <w:numId w:val="10"/>
        </w:numPr>
        <w:pBdr>
          <w:top w:val="nil"/>
          <w:left w:val="nil"/>
          <w:bottom w:val="nil"/>
          <w:right w:val="nil"/>
          <w:between w:val="nil"/>
          <w:bar w:val="nil"/>
        </w:pBdr>
        <w:tabs>
          <w:tab w:val="left" w:pos="142"/>
        </w:tabs>
        <w:ind w:left="0"/>
        <w:contextualSpacing w:val="0"/>
        <w:rPr>
          <w:color w:val="000000" w:themeColor="text1"/>
        </w:rPr>
      </w:pPr>
      <w:r w:rsidRPr="00D92B78">
        <w:rPr>
          <w:color w:val="000000" w:themeColor="text1"/>
        </w:rPr>
        <w:t>The Judicial Review hearings planned for March (in which the LGA has been named as an interested party) remain in place until the appellants agree to withdraw their applications.</w:t>
      </w:r>
    </w:p>
    <w:p w14:paraId="0DEEFA8A" w14:textId="77777777" w:rsidR="00D4090E" w:rsidRPr="00D92B78" w:rsidRDefault="00D4090E" w:rsidP="00D92B78">
      <w:pPr>
        <w:pStyle w:val="ListParagraph"/>
        <w:tabs>
          <w:tab w:val="left" w:pos="142"/>
        </w:tabs>
        <w:ind w:left="0"/>
        <w:rPr>
          <w:color w:val="000000" w:themeColor="text1"/>
        </w:rPr>
      </w:pPr>
    </w:p>
    <w:p w14:paraId="47ED81D4" w14:textId="6CE87194" w:rsidR="00D4090E" w:rsidRPr="00D92B78" w:rsidRDefault="00D4090E" w:rsidP="00D92B78">
      <w:pPr>
        <w:pStyle w:val="ListParagraph"/>
        <w:numPr>
          <w:ilvl w:val="0"/>
          <w:numId w:val="10"/>
        </w:numPr>
        <w:pBdr>
          <w:top w:val="nil"/>
          <w:left w:val="nil"/>
          <w:bottom w:val="nil"/>
          <w:right w:val="nil"/>
          <w:between w:val="nil"/>
          <w:bar w:val="nil"/>
        </w:pBdr>
        <w:tabs>
          <w:tab w:val="left" w:pos="142"/>
        </w:tabs>
        <w:ind w:left="0"/>
        <w:contextualSpacing w:val="0"/>
        <w:rPr>
          <w:color w:val="000000" w:themeColor="text1"/>
        </w:rPr>
      </w:pPr>
      <w:r w:rsidRPr="00D92B78">
        <w:rPr>
          <w:color w:val="000000" w:themeColor="text1"/>
        </w:rPr>
        <w:t>MHCLG is expected to announce their consultation on further reforms is complete and no further action will be taken until a new consultation is issued. They are also expected to withdraw the recommendation to withhold unreduced pensions made in their letter of 28 October 2020.</w:t>
      </w:r>
      <w:r w:rsidR="005154BE" w:rsidRPr="00D92B78">
        <w:rPr>
          <w:color w:val="000000" w:themeColor="text1"/>
        </w:rPr>
        <w:t xml:space="preserve"> </w:t>
      </w:r>
      <w:r w:rsidRPr="00D92B78">
        <w:rPr>
          <w:rFonts w:eastAsia="Arial"/>
          <w:color w:val="000000" w:themeColor="text1"/>
        </w:rPr>
        <w:t>We will issue updated guidance to employers when we have further clarifications from HMT and MHCLG.</w:t>
      </w:r>
    </w:p>
    <w:p w14:paraId="58547583" w14:textId="48D245A5" w:rsidR="00D5076C" w:rsidRDefault="00D5076C" w:rsidP="00D92B78">
      <w:pPr>
        <w:tabs>
          <w:tab w:val="left" w:pos="142"/>
        </w:tabs>
      </w:pPr>
    </w:p>
    <w:p w14:paraId="45C6A96D" w14:textId="715E964F" w:rsidR="00EC5536" w:rsidRDefault="00EC5536" w:rsidP="00D92B78">
      <w:pPr>
        <w:tabs>
          <w:tab w:val="left" w:pos="142"/>
        </w:tabs>
      </w:pPr>
    </w:p>
    <w:p w14:paraId="54B93B20" w14:textId="77777777" w:rsidR="00EC5536" w:rsidRPr="00D92B78" w:rsidRDefault="00EC5536" w:rsidP="00D92B78">
      <w:pPr>
        <w:tabs>
          <w:tab w:val="left" w:pos="142"/>
        </w:tabs>
      </w:pPr>
    </w:p>
    <w:p w14:paraId="2D31D3D7" w14:textId="77777777" w:rsidR="00D4090E" w:rsidRPr="00D92B78" w:rsidRDefault="00D4090E" w:rsidP="00D92B78">
      <w:pPr>
        <w:tabs>
          <w:tab w:val="left" w:pos="142"/>
        </w:tabs>
        <w:rPr>
          <w:i/>
          <w:iCs/>
        </w:rPr>
      </w:pPr>
      <w:r w:rsidRPr="00D92B78">
        <w:rPr>
          <w:i/>
          <w:iCs/>
        </w:rPr>
        <w:lastRenderedPageBreak/>
        <w:t>Apprenticeships</w:t>
      </w:r>
    </w:p>
    <w:p w14:paraId="6B98AF34" w14:textId="77777777" w:rsidR="00D4090E" w:rsidRPr="00D92B78" w:rsidRDefault="00D4090E" w:rsidP="00D92B78">
      <w:pPr>
        <w:tabs>
          <w:tab w:val="left" w:pos="142"/>
        </w:tabs>
        <w:rPr>
          <w:b/>
          <w:bCs/>
        </w:rPr>
      </w:pPr>
    </w:p>
    <w:p w14:paraId="5B863E66" w14:textId="77777777" w:rsidR="00D4090E" w:rsidRPr="00D92B78" w:rsidRDefault="00D4090E" w:rsidP="00D92B78">
      <w:pPr>
        <w:pStyle w:val="ListParagraph"/>
        <w:numPr>
          <w:ilvl w:val="0"/>
          <w:numId w:val="10"/>
        </w:numPr>
        <w:tabs>
          <w:tab w:val="left" w:pos="142"/>
        </w:tabs>
        <w:ind w:left="0"/>
        <w:contextualSpacing w:val="0"/>
      </w:pPr>
      <w:r w:rsidRPr="00D92B78">
        <w:t>‘</w:t>
      </w:r>
      <w:hyperlink r:id="rId25" w:history="1">
        <w:r w:rsidRPr="00D92B78">
          <w:rPr>
            <w:rStyle w:val="Hyperlink"/>
          </w:rPr>
          <w:t>Skills for Jobs’</w:t>
        </w:r>
      </w:hyperlink>
      <w:r w:rsidRPr="00D92B78">
        <w:t>, the government’s Further Education White Paper was published in January. It re-confirmed the government’s pre-existing approach to apprenticeships and announced new plans to reform further education funding and give new powers to the Education Secretary to intervene in colleges. A consultation will follow later in the year.</w:t>
      </w:r>
    </w:p>
    <w:p w14:paraId="4814A718" w14:textId="77777777" w:rsidR="00D4090E" w:rsidRPr="00D92B78" w:rsidRDefault="00D4090E" w:rsidP="00D92B78">
      <w:pPr>
        <w:pStyle w:val="ListParagraph"/>
        <w:tabs>
          <w:tab w:val="left" w:pos="142"/>
        </w:tabs>
        <w:ind w:left="0"/>
      </w:pPr>
    </w:p>
    <w:p w14:paraId="5B5B2DF7" w14:textId="42C3C204" w:rsidR="00D4090E" w:rsidRPr="00D92B78" w:rsidRDefault="00D4090E" w:rsidP="00D92B78">
      <w:pPr>
        <w:pStyle w:val="ListParagraph"/>
        <w:numPr>
          <w:ilvl w:val="0"/>
          <w:numId w:val="10"/>
        </w:numPr>
        <w:tabs>
          <w:tab w:val="left" w:pos="142"/>
        </w:tabs>
        <w:ind w:left="0"/>
        <w:contextualSpacing w:val="0"/>
      </w:pPr>
      <w:r w:rsidRPr="00D92B78">
        <w:t>The second iteration of the LGA’s Apprenticeships Action Learning Programme</w:t>
      </w:r>
      <w:r w:rsidR="005154BE" w:rsidRPr="00D92B78">
        <w:t xml:space="preserve"> </w:t>
      </w:r>
      <w:r w:rsidRPr="00D92B78">
        <w:t xml:space="preserve">was launched in January </w:t>
      </w:r>
      <w:r w:rsidR="00DF2604" w:rsidRPr="00D92B78">
        <w:t>to</w:t>
      </w:r>
      <w:r w:rsidRPr="00D92B78">
        <w:t xml:space="preserve"> support officers from 45 councils in five groups through to July 2021, focusing on issues like workforce development, leadership and culture and engagement. </w:t>
      </w:r>
    </w:p>
    <w:p w14:paraId="53FF4C4C" w14:textId="77777777" w:rsidR="00D4090E" w:rsidRPr="00D92B78" w:rsidRDefault="00D4090E" w:rsidP="00D92B78">
      <w:pPr>
        <w:tabs>
          <w:tab w:val="left" w:pos="142"/>
        </w:tabs>
      </w:pPr>
    </w:p>
    <w:p w14:paraId="041EEB36" w14:textId="77777777" w:rsidR="00D4090E" w:rsidRPr="00D92B78" w:rsidRDefault="00D4090E" w:rsidP="00D92B78">
      <w:pPr>
        <w:tabs>
          <w:tab w:val="left" w:pos="142"/>
        </w:tabs>
        <w:rPr>
          <w:i/>
          <w:iCs/>
        </w:rPr>
      </w:pPr>
      <w:r w:rsidRPr="00D92B78">
        <w:rPr>
          <w:i/>
          <w:iCs/>
        </w:rPr>
        <w:t xml:space="preserve">Social Work </w:t>
      </w:r>
    </w:p>
    <w:p w14:paraId="313223CD" w14:textId="77777777" w:rsidR="00D4090E" w:rsidRPr="00D92B78" w:rsidRDefault="00D4090E" w:rsidP="00D92B78">
      <w:pPr>
        <w:tabs>
          <w:tab w:val="left" w:pos="142"/>
        </w:tabs>
        <w:rPr>
          <w:b/>
          <w:bCs/>
        </w:rPr>
      </w:pPr>
    </w:p>
    <w:p w14:paraId="6B943740" w14:textId="77777777" w:rsidR="00D4090E" w:rsidRPr="00D92B78" w:rsidRDefault="00D4090E" w:rsidP="00D92B78">
      <w:pPr>
        <w:pStyle w:val="ListParagraph"/>
        <w:numPr>
          <w:ilvl w:val="0"/>
          <w:numId w:val="10"/>
        </w:numPr>
        <w:pBdr>
          <w:top w:val="nil"/>
          <w:left w:val="nil"/>
          <w:bottom w:val="nil"/>
          <w:right w:val="nil"/>
          <w:between w:val="nil"/>
          <w:bar w:val="nil"/>
        </w:pBdr>
        <w:tabs>
          <w:tab w:val="left" w:pos="142"/>
        </w:tabs>
        <w:ind w:left="0"/>
        <w:contextualSpacing w:val="0"/>
        <w:rPr>
          <w:rFonts w:eastAsia="Arial"/>
          <w:color w:val="000000" w:themeColor="text1"/>
        </w:rPr>
      </w:pPr>
      <w:r w:rsidRPr="00D92B78">
        <w:rPr>
          <w:rFonts w:eastAsia="Arial"/>
          <w:color w:val="000000" w:themeColor="text1"/>
        </w:rPr>
        <w:t xml:space="preserve">The National Social Work </w:t>
      </w:r>
      <w:proofErr w:type="spellStart"/>
      <w:r w:rsidRPr="00D92B78">
        <w:rPr>
          <w:rFonts w:eastAsia="Arial"/>
          <w:color w:val="000000" w:themeColor="text1"/>
        </w:rPr>
        <w:t>Healthcheck</w:t>
      </w:r>
      <w:proofErr w:type="spellEnd"/>
      <w:r w:rsidRPr="00D92B78">
        <w:rPr>
          <w:rFonts w:eastAsia="Arial"/>
          <w:color w:val="000000" w:themeColor="text1"/>
        </w:rPr>
        <w:t xml:space="preserve"> Report was launched at an LGA webinar on 17 February attended by 161 social work professionals and chaired by the Chief Social Worker for Adults. The report is based on over 9,000 responses from social workers across 133 councils. Each participating council has already received a bespoke report and will receive a more in-depth report by the middle of March 2020.</w:t>
      </w:r>
    </w:p>
    <w:p w14:paraId="301892E7" w14:textId="77777777" w:rsidR="00D4090E" w:rsidRPr="00D92B78" w:rsidRDefault="00D4090E" w:rsidP="00D92B78">
      <w:pPr>
        <w:tabs>
          <w:tab w:val="left" w:pos="142"/>
        </w:tabs>
        <w:rPr>
          <w:rFonts w:eastAsia="Arial"/>
          <w:color w:val="000000" w:themeColor="text1"/>
        </w:rPr>
      </w:pPr>
    </w:p>
    <w:p w14:paraId="39C87D1D" w14:textId="77777777" w:rsidR="00D4090E" w:rsidRPr="00D92B78" w:rsidRDefault="00D4090E" w:rsidP="00D92B78">
      <w:pPr>
        <w:tabs>
          <w:tab w:val="left" w:pos="142"/>
        </w:tabs>
        <w:rPr>
          <w:rFonts w:eastAsia="Arial"/>
          <w:i/>
          <w:iCs/>
          <w:color w:val="000000" w:themeColor="text1"/>
        </w:rPr>
      </w:pPr>
      <w:r w:rsidRPr="00D92B78">
        <w:rPr>
          <w:rFonts w:eastAsia="Arial"/>
          <w:i/>
          <w:iCs/>
          <w:color w:val="000000" w:themeColor="text1"/>
        </w:rPr>
        <w:t>Recruitment Talent Pools</w:t>
      </w:r>
    </w:p>
    <w:p w14:paraId="5AE1E7D1" w14:textId="77777777" w:rsidR="00D4090E" w:rsidRPr="00D92B78" w:rsidRDefault="00D4090E" w:rsidP="00D92B78">
      <w:pPr>
        <w:tabs>
          <w:tab w:val="left" w:pos="142"/>
        </w:tabs>
        <w:rPr>
          <w:rFonts w:eastAsia="Arial"/>
          <w:color w:val="000000" w:themeColor="text1"/>
        </w:rPr>
      </w:pPr>
    </w:p>
    <w:p w14:paraId="6C98CA9D" w14:textId="053DB973" w:rsidR="00D4090E" w:rsidRPr="00D92B78" w:rsidRDefault="007A732B" w:rsidP="00D92B78">
      <w:pPr>
        <w:pStyle w:val="ListParagraph"/>
        <w:numPr>
          <w:ilvl w:val="0"/>
          <w:numId w:val="10"/>
        </w:numPr>
        <w:pBdr>
          <w:top w:val="nil"/>
          <w:left w:val="nil"/>
          <w:bottom w:val="nil"/>
          <w:right w:val="nil"/>
          <w:between w:val="nil"/>
          <w:bar w:val="nil"/>
        </w:pBdr>
        <w:tabs>
          <w:tab w:val="left" w:pos="142"/>
        </w:tabs>
        <w:ind w:left="0"/>
        <w:contextualSpacing w:val="0"/>
        <w:rPr>
          <w:rFonts w:eastAsia="Arial"/>
          <w:color w:val="000000" w:themeColor="text1"/>
        </w:rPr>
      </w:pPr>
      <w:r w:rsidRPr="00D92B78">
        <w:rPr>
          <w:rFonts w:eastAsia="Arial"/>
          <w:i/>
          <w:iCs/>
          <w:color w:val="000000" w:themeColor="text1"/>
        </w:rPr>
        <w:t>Environmental Health Together:</w:t>
      </w:r>
      <w:r w:rsidRPr="00D92B78">
        <w:rPr>
          <w:rFonts w:eastAsia="Arial"/>
          <w:color w:val="000000" w:themeColor="text1"/>
        </w:rPr>
        <w:t xml:space="preserve"> </w:t>
      </w:r>
      <w:r w:rsidR="00D4090E" w:rsidRPr="00D92B78">
        <w:rPr>
          <w:rFonts w:eastAsia="Arial"/>
          <w:color w:val="000000" w:themeColor="text1"/>
        </w:rPr>
        <w:t>This talent platform went live at the end of October. So far, 212 qualified EHOs and 109 councils have subscribed. Councils can use this resource free of charge to help support their busy Environmental Health teams.</w:t>
      </w:r>
      <w:r w:rsidR="00455F9F" w:rsidRPr="00D92B78">
        <w:rPr>
          <w:rFonts w:eastAsia="Arial"/>
          <w:color w:val="000000" w:themeColor="text1"/>
        </w:rPr>
        <w:t xml:space="preserve"> </w:t>
      </w:r>
    </w:p>
    <w:p w14:paraId="3CA1CF17" w14:textId="77777777" w:rsidR="00D4090E" w:rsidRPr="00D92B78" w:rsidRDefault="00D4090E" w:rsidP="00D92B78">
      <w:pPr>
        <w:tabs>
          <w:tab w:val="left" w:pos="142"/>
        </w:tabs>
        <w:rPr>
          <w:rFonts w:eastAsia="Arial"/>
          <w:color w:val="000000" w:themeColor="text1"/>
        </w:rPr>
      </w:pPr>
    </w:p>
    <w:p w14:paraId="252730EC" w14:textId="73B516EF" w:rsidR="003D7F55" w:rsidRPr="003D7F55" w:rsidRDefault="007A732B" w:rsidP="003D7F55">
      <w:pPr>
        <w:pStyle w:val="ListParagraph"/>
        <w:numPr>
          <w:ilvl w:val="0"/>
          <w:numId w:val="10"/>
        </w:numPr>
        <w:pBdr>
          <w:top w:val="nil"/>
          <w:left w:val="nil"/>
          <w:bottom w:val="nil"/>
          <w:right w:val="nil"/>
          <w:between w:val="nil"/>
          <w:bar w:val="nil"/>
        </w:pBdr>
        <w:tabs>
          <w:tab w:val="left" w:pos="142"/>
        </w:tabs>
        <w:ind w:left="0"/>
        <w:contextualSpacing w:val="0"/>
        <w:rPr>
          <w:b/>
          <w:bCs/>
        </w:rPr>
      </w:pPr>
      <w:r w:rsidRPr="003D7F55">
        <w:rPr>
          <w:rFonts w:eastAsia="Arial"/>
          <w:i/>
          <w:iCs/>
          <w:color w:val="000000" w:themeColor="text1"/>
        </w:rPr>
        <w:t>Social Work Together:</w:t>
      </w:r>
      <w:r w:rsidRPr="003D7F55">
        <w:rPr>
          <w:rFonts w:eastAsia="Arial"/>
          <w:color w:val="000000" w:themeColor="text1"/>
        </w:rPr>
        <w:t xml:space="preserve"> </w:t>
      </w:r>
      <w:r w:rsidR="00D4090E" w:rsidRPr="003D7F55">
        <w:rPr>
          <w:rFonts w:eastAsia="Arial"/>
          <w:color w:val="000000" w:themeColor="text1"/>
        </w:rPr>
        <w:t xml:space="preserve">This LGA talent pool has over 1,000 qualified social workers registered, and 108 councils subscribed. Councils can use this resource free of charge to help support their Social Work teams and avoid agency costs by employing directly. </w:t>
      </w:r>
    </w:p>
    <w:p w14:paraId="35B96A13" w14:textId="77777777" w:rsidR="003D7F55" w:rsidRPr="003D7F55" w:rsidRDefault="003D7F55" w:rsidP="003D7F55">
      <w:pPr>
        <w:pStyle w:val="ListParagraph"/>
        <w:pBdr>
          <w:top w:val="nil"/>
          <w:left w:val="nil"/>
          <w:bottom w:val="nil"/>
          <w:right w:val="nil"/>
          <w:between w:val="nil"/>
          <w:bar w:val="nil"/>
        </w:pBdr>
        <w:tabs>
          <w:tab w:val="left" w:pos="142"/>
        </w:tabs>
        <w:ind w:left="0"/>
        <w:contextualSpacing w:val="0"/>
        <w:rPr>
          <w:b/>
          <w:bCs/>
        </w:rPr>
      </w:pPr>
    </w:p>
    <w:p w14:paraId="7A58EECE" w14:textId="77777777" w:rsidR="00D4090E" w:rsidRPr="00D92B78" w:rsidRDefault="00D4090E" w:rsidP="00D92B78">
      <w:pPr>
        <w:tabs>
          <w:tab w:val="left" w:pos="142"/>
        </w:tabs>
        <w:rPr>
          <w:i/>
          <w:iCs/>
        </w:rPr>
      </w:pPr>
      <w:r w:rsidRPr="00D92B78">
        <w:rPr>
          <w:i/>
          <w:iCs/>
        </w:rPr>
        <w:t>Return to Work Programmes</w:t>
      </w:r>
    </w:p>
    <w:p w14:paraId="3357EF1C" w14:textId="77777777" w:rsidR="00D4090E" w:rsidRPr="00C43718" w:rsidRDefault="00D4090E" w:rsidP="00D92B78">
      <w:pPr>
        <w:tabs>
          <w:tab w:val="left" w:pos="142"/>
        </w:tabs>
        <w:contextualSpacing/>
        <w:rPr>
          <w:i/>
          <w:iCs/>
          <w:u w:val="single"/>
        </w:rPr>
      </w:pPr>
    </w:p>
    <w:p w14:paraId="0558FE32" w14:textId="561480DE" w:rsidR="00D4090E" w:rsidRPr="00D92B78" w:rsidRDefault="007A732B" w:rsidP="00D92B78">
      <w:pPr>
        <w:pStyle w:val="ListParagraph"/>
        <w:numPr>
          <w:ilvl w:val="0"/>
          <w:numId w:val="10"/>
        </w:numPr>
        <w:tabs>
          <w:tab w:val="left" w:pos="142"/>
        </w:tabs>
        <w:ind w:left="0"/>
      </w:pPr>
      <w:r w:rsidRPr="00A46C8B">
        <w:rPr>
          <w:i/>
          <w:iCs/>
        </w:rPr>
        <w:t>Return to Legal:</w:t>
      </w:r>
      <w:r w:rsidRPr="00D92B78">
        <w:t xml:space="preserve"> </w:t>
      </w:r>
      <w:r w:rsidR="00D4090E" w:rsidRPr="00D92B78">
        <w:t>Councils who have signed up to the programme can now contact qualified and experienced candidates.</w:t>
      </w:r>
    </w:p>
    <w:p w14:paraId="59601DAA" w14:textId="77777777" w:rsidR="00D4090E" w:rsidRPr="00C43718" w:rsidRDefault="00D4090E" w:rsidP="00D92B78">
      <w:pPr>
        <w:tabs>
          <w:tab w:val="left" w:pos="142"/>
        </w:tabs>
      </w:pPr>
    </w:p>
    <w:p w14:paraId="575ED674" w14:textId="1455C235" w:rsidR="00D4090E" w:rsidRPr="00D92B78" w:rsidRDefault="007A732B" w:rsidP="00D92B78">
      <w:pPr>
        <w:pStyle w:val="ListParagraph"/>
        <w:numPr>
          <w:ilvl w:val="0"/>
          <w:numId w:val="10"/>
        </w:numPr>
        <w:pBdr>
          <w:top w:val="nil"/>
          <w:left w:val="nil"/>
          <w:bottom w:val="nil"/>
          <w:right w:val="nil"/>
          <w:between w:val="nil"/>
          <w:bar w:val="nil"/>
        </w:pBdr>
        <w:tabs>
          <w:tab w:val="left" w:pos="142"/>
        </w:tabs>
        <w:ind w:left="0"/>
        <w:contextualSpacing w:val="0"/>
      </w:pPr>
      <w:r w:rsidRPr="00A46C8B">
        <w:rPr>
          <w:i/>
          <w:iCs/>
        </w:rPr>
        <w:t xml:space="preserve">Return to Planning </w:t>
      </w:r>
      <w:r w:rsidR="00FD6F09" w:rsidRPr="00A46C8B">
        <w:rPr>
          <w:i/>
          <w:iCs/>
        </w:rPr>
        <w:t>&amp;</w:t>
      </w:r>
      <w:r w:rsidRPr="00A46C8B">
        <w:rPr>
          <w:i/>
          <w:iCs/>
        </w:rPr>
        <w:t xml:space="preserve"> ICT:</w:t>
      </w:r>
      <w:r w:rsidRPr="00C43718">
        <w:t xml:space="preserve"> C</w:t>
      </w:r>
      <w:r w:rsidR="00D4090E" w:rsidRPr="00C43718">
        <w:t>andidates</w:t>
      </w:r>
      <w:r w:rsidR="00D4090E" w:rsidRPr="00D92B78">
        <w:t xml:space="preserve"> are still completing their training on both programmes and will be provided with council vacancies in March 2021.</w:t>
      </w:r>
    </w:p>
    <w:p w14:paraId="1708620A" w14:textId="77777777" w:rsidR="00D4090E" w:rsidRPr="00D92B78" w:rsidRDefault="00D4090E" w:rsidP="00D92B78">
      <w:pPr>
        <w:tabs>
          <w:tab w:val="left" w:pos="142"/>
        </w:tabs>
        <w:rPr>
          <w:i/>
          <w:iCs/>
        </w:rPr>
      </w:pPr>
    </w:p>
    <w:p w14:paraId="37A5DA39" w14:textId="31484BF1" w:rsidR="00D4090E" w:rsidRPr="00D92B78" w:rsidRDefault="007A732B" w:rsidP="00D92B78">
      <w:pPr>
        <w:pStyle w:val="ListParagraph"/>
        <w:numPr>
          <w:ilvl w:val="0"/>
          <w:numId w:val="10"/>
        </w:numPr>
        <w:pBdr>
          <w:top w:val="nil"/>
          <w:left w:val="nil"/>
          <w:bottom w:val="nil"/>
          <w:right w:val="nil"/>
          <w:between w:val="nil"/>
          <w:bar w:val="nil"/>
        </w:pBdr>
        <w:tabs>
          <w:tab w:val="left" w:pos="142"/>
        </w:tabs>
        <w:ind w:left="0"/>
        <w:contextualSpacing w:val="0"/>
      </w:pPr>
      <w:r w:rsidRPr="00A46C8B">
        <w:rPr>
          <w:i/>
          <w:iCs/>
        </w:rPr>
        <w:t>Return to Social Work:</w:t>
      </w:r>
      <w:r w:rsidRPr="00D92B78">
        <w:rPr>
          <w:i/>
          <w:iCs/>
        </w:rPr>
        <w:t xml:space="preserve"> </w:t>
      </w:r>
      <w:r w:rsidR="00D4090E" w:rsidRPr="00D92B78">
        <w:t xml:space="preserve">Many candidates have already been offered roles, but there are still some candidates looking for a placement and a role within local government. </w:t>
      </w:r>
    </w:p>
    <w:p w14:paraId="70B18636" w14:textId="77777777" w:rsidR="00D4090E" w:rsidRPr="00D92B78" w:rsidRDefault="00D4090E" w:rsidP="00D92B78">
      <w:pPr>
        <w:tabs>
          <w:tab w:val="left" w:pos="142"/>
        </w:tabs>
      </w:pPr>
    </w:p>
    <w:p w14:paraId="6576A6B9" w14:textId="77777777" w:rsidR="00D4090E" w:rsidRPr="00D92B78" w:rsidRDefault="00D4090E" w:rsidP="00D92B78">
      <w:pPr>
        <w:tabs>
          <w:tab w:val="left" w:pos="142"/>
        </w:tabs>
        <w:rPr>
          <w:i/>
          <w:iCs/>
        </w:rPr>
      </w:pPr>
      <w:r w:rsidRPr="00D92B78">
        <w:rPr>
          <w:i/>
          <w:iCs/>
        </w:rPr>
        <w:t>Extension of Ban on Exclusivity Clauses</w:t>
      </w:r>
    </w:p>
    <w:p w14:paraId="13E6F0A2" w14:textId="77777777" w:rsidR="00D4090E" w:rsidRPr="00D92B78" w:rsidRDefault="00D4090E" w:rsidP="00D92B78">
      <w:pPr>
        <w:tabs>
          <w:tab w:val="left" w:pos="142"/>
        </w:tabs>
      </w:pPr>
    </w:p>
    <w:p w14:paraId="1DAA4022" w14:textId="2416A9B7" w:rsidR="00D4090E" w:rsidRDefault="00D4090E" w:rsidP="00D92B78">
      <w:pPr>
        <w:pStyle w:val="ListParagraph"/>
        <w:numPr>
          <w:ilvl w:val="0"/>
          <w:numId w:val="10"/>
        </w:numPr>
        <w:pBdr>
          <w:top w:val="nil"/>
          <w:left w:val="nil"/>
          <w:bottom w:val="nil"/>
          <w:right w:val="nil"/>
          <w:between w:val="nil"/>
          <w:bar w:val="nil"/>
        </w:pBdr>
        <w:tabs>
          <w:tab w:val="left" w:pos="142"/>
        </w:tabs>
        <w:ind w:left="0"/>
        <w:contextualSpacing w:val="0"/>
      </w:pPr>
      <w:r w:rsidRPr="00D92B78">
        <w:t xml:space="preserve">The </w:t>
      </w:r>
      <w:hyperlink r:id="rId26" w:anchor="exclusivity-clauses-consultation-on-extending-ban" w:history="1">
        <w:r w:rsidRPr="00D92B78">
          <w:rPr>
            <w:rStyle w:val="Hyperlink"/>
          </w:rPr>
          <w:t>Government issued a consultation on a proposed extension of the ban on exclusivity clauses</w:t>
        </w:r>
      </w:hyperlink>
      <w:r w:rsidRPr="00D92B78">
        <w:t xml:space="preserve"> in employment contracts that prevent employees from working for another employer. The Government propose to extend the ban to cover those earning less than the Lower Earnings Limit (£120 a week). As use of such clauses is rare in our sector, the LGA have submitted a response in support of the proposal. </w:t>
      </w:r>
    </w:p>
    <w:p w14:paraId="276B248E" w14:textId="77777777" w:rsidR="00D4090E" w:rsidRPr="00D92B78" w:rsidRDefault="00D4090E" w:rsidP="00D92B78">
      <w:pPr>
        <w:pStyle w:val="ListParagraph"/>
        <w:tabs>
          <w:tab w:val="left" w:pos="142"/>
        </w:tabs>
        <w:ind w:left="0"/>
      </w:pPr>
    </w:p>
    <w:p w14:paraId="54662B02" w14:textId="77777777" w:rsidR="00D4090E" w:rsidRPr="00D92B78" w:rsidRDefault="00D4090E" w:rsidP="00D92B78">
      <w:pPr>
        <w:tabs>
          <w:tab w:val="left" w:pos="142"/>
        </w:tabs>
        <w:rPr>
          <w:i/>
          <w:iCs/>
        </w:rPr>
      </w:pPr>
      <w:r w:rsidRPr="00D92B78">
        <w:rPr>
          <w:i/>
          <w:iCs/>
        </w:rPr>
        <w:t>Reforming post-termination non-compete clauses</w:t>
      </w:r>
    </w:p>
    <w:p w14:paraId="6E8CDA3E" w14:textId="77777777" w:rsidR="00D4090E" w:rsidRPr="00D92B78" w:rsidRDefault="00D4090E" w:rsidP="00D92B78">
      <w:pPr>
        <w:tabs>
          <w:tab w:val="left" w:pos="142"/>
        </w:tabs>
      </w:pPr>
    </w:p>
    <w:p w14:paraId="2C9D79A8" w14:textId="67115CE2" w:rsidR="00D4090E" w:rsidRPr="00D92B78" w:rsidRDefault="00644D52" w:rsidP="00D92B78">
      <w:pPr>
        <w:pStyle w:val="ListParagraph"/>
        <w:numPr>
          <w:ilvl w:val="0"/>
          <w:numId w:val="10"/>
        </w:numPr>
        <w:pBdr>
          <w:top w:val="nil"/>
          <w:left w:val="nil"/>
          <w:bottom w:val="nil"/>
          <w:right w:val="nil"/>
          <w:between w:val="nil"/>
          <w:bar w:val="nil"/>
        </w:pBdr>
        <w:tabs>
          <w:tab w:val="left" w:pos="142"/>
        </w:tabs>
        <w:ind w:left="0"/>
        <w:contextualSpacing w:val="0"/>
      </w:pPr>
      <w:r>
        <w:t xml:space="preserve">The </w:t>
      </w:r>
      <w:r w:rsidR="00D4090E" w:rsidRPr="00D92B78">
        <w:t xml:space="preserve">Government has also </w:t>
      </w:r>
      <w:hyperlink r:id="rId27" w:history="1">
        <w:r w:rsidR="00D4090E" w:rsidRPr="00D92B78">
          <w:rPr>
            <w:rStyle w:val="Hyperlink"/>
          </w:rPr>
          <w:t>consulted on reforming post-termination non-compete clauses</w:t>
        </w:r>
      </w:hyperlink>
      <w:r w:rsidR="00D4090E" w:rsidRPr="00D92B78">
        <w:t xml:space="preserve">. The proposals would remove barriers to innovation and employment opportunities and are primarily aimed at the private sector. The public sector is recognised as being different due to the use of Business Appointment riles (or an equivalent), though Government will consider any read-across or impact on the public sector, potentially leading to further consultation. As </w:t>
      </w:r>
      <w:r w:rsidR="00D4090E" w:rsidRPr="00D92B78">
        <w:lastRenderedPageBreak/>
        <w:t>there is no evidence these clauses are in wide use in our sector, the LGA’s brief response referred to relevant sections of the Chief Executives’ Handbook.</w:t>
      </w:r>
    </w:p>
    <w:p w14:paraId="6E93C61D" w14:textId="4683CE88" w:rsidR="005B7501" w:rsidRPr="00D92B78" w:rsidRDefault="005B7501" w:rsidP="00D92B78">
      <w:pPr>
        <w:tabs>
          <w:tab w:val="left" w:pos="142"/>
          <w:tab w:val="num" w:pos="360"/>
        </w:tabs>
      </w:pPr>
    </w:p>
    <w:p w14:paraId="49971CEF" w14:textId="77777777" w:rsidR="00C635E9" w:rsidRPr="00D92B78" w:rsidRDefault="00C635E9" w:rsidP="00D92B78">
      <w:pPr>
        <w:tabs>
          <w:tab w:val="left" w:pos="142"/>
          <w:tab w:val="num" w:pos="360"/>
        </w:tabs>
      </w:pPr>
    </w:p>
    <w:p w14:paraId="5D7867E2" w14:textId="77594610" w:rsidR="005B7501" w:rsidRPr="00D92B78" w:rsidRDefault="005B7501" w:rsidP="00D92B78">
      <w:pPr>
        <w:tabs>
          <w:tab w:val="left" w:pos="142"/>
          <w:tab w:val="num" w:pos="360"/>
        </w:tabs>
        <w:rPr>
          <w:b/>
          <w:bCs/>
          <w:sz w:val="24"/>
          <w:szCs w:val="24"/>
        </w:rPr>
      </w:pPr>
      <w:r w:rsidRPr="00D92B78">
        <w:rPr>
          <w:b/>
          <w:bCs/>
          <w:sz w:val="24"/>
          <w:szCs w:val="24"/>
        </w:rPr>
        <w:t>Support for Low Income Households</w:t>
      </w:r>
    </w:p>
    <w:p w14:paraId="36E1D943" w14:textId="1158A626" w:rsidR="005B7501" w:rsidRPr="00D92B78" w:rsidRDefault="005B7501" w:rsidP="00D92B78">
      <w:pPr>
        <w:tabs>
          <w:tab w:val="left" w:pos="142"/>
          <w:tab w:val="num" w:pos="360"/>
        </w:tabs>
      </w:pPr>
    </w:p>
    <w:p w14:paraId="7E8C229A" w14:textId="3B51026C" w:rsidR="00D92B78" w:rsidRPr="00D92B78" w:rsidRDefault="00D92B78" w:rsidP="00D92B78">
      <w:pPr>
        <w:pStyle w:val="ListParagraph"/>
        <w:numPr>
          <w:ilvl w:val="0"/>
          <w:numId w:val="10"/>
        </w:numPr>
        <w:ind w:left="0"/>
      </w:pPr>
      <w:r w:rsidRPr="00D92B78">
        <w:t>The LGA continues to work with a growing number of councils and partners on ‘reshaping financial support’. A report and evaluation from the programme will be published at the end of March.  The reports will highlight and explore a wide range of local practice and partnership work including local welfare schemes, debt advice and support and access to affordable credit and financial services.</w:t>
      </w:r>
    </w:p>
    <w:p w14:paraId="61185A11" w14:textId="77777777" w:rsidR="00D92B78" w:rsidRPr="00D92B78" w:rsidRDefault="00D92B78" w:rsidP="00D92B78">
      <w:pPr>
        <w:pStyle w:val="ListParagraph"/>
        <w:ind w:left="0"/>
      </w:pPr>
    </w:p>
    <w:p w14:paraId="7E441C35" w14:textId="77777777" w:rsidR="00D92B78" w:rsidRPr="00D92B78" w:rsidRDefault="00D92B78" w:rsidP="00D92B78">
      <w:pPr>
        <w:pStyle w:val="ListParagraph"/>
        <w:numPr>
          <w:ilvl w:val="0"/>
          <w:numId w:val="10"/>
        </w:numPr>
        <w:ind w:left="0"/>
      </w:pPr>
      <w:r w:rsidRPr="00D92B78">
        <w:t>We have worked closely with the Department for Work and Pensions (DWP) on the implementation of the £170m Winter Grant, and they have just confirmed that further funding will be available for the Spring. We have developed a range of case studies that demonstrate the range of efficient and effective ways councils have used this money to prevent hardship and maintain resilience.  We continue to press Government on the need for sustainable funding for local welfare schemes of at least £250m per annum to secure preventative support for low income households as we move towards economic recovery.</w:t>
      </w:r>
    </w:p>
    <w:p w14:paraId="15FB1BE3" w14:textId="77777777" w:rsidR="00D92B78" w:rsidRPr="00D92B78" w:rsidRDefault="00D92B78" w:rsidP="00D92B78">
      <w:pPr>
        <w:pStyle w:val="ListParagraph"/>
        <w:ind w:left="0"/>
      </w:pPr>
    </w:p>
    <w:p w14:paraId="5D69860A" w14:textId="77777777" w:rsidR="00D92B78" w:rsidRPr="00D92B78" w:rsidRDefault="00D92B78" w:rsidP="00D92B78">
      <w:pPr>
        <w:pStyle w:val="ListParagraph"/>
        <w:numPr>
          <w:ilvl w:val="0"/>
          <w:numId w:val="10"/>
        </w:numPr>
        <w:ind w:left="0"/>
      </w:pPr>
      <w:r w:rsidRPr="00D92B78">
        <w:t>The Department for Health and Social Care (DHSC) have confirmed that that the Test and Trace Support Payment (TTSP) scheme is to be extended until 30 June and that the eligibility criteria are expanding to allow one parent or guardian to receive support if they have to take time off work to care for a child who is self-isolating. Funding available to English councils for discretionary payments is also increasing to £20 million per month through to the 30 June. MHCLG have also announced funding for non-financial support.  We are currently working with both departments to ensure that guidance and objectives for financial and non-financial support are aligned as closely as possible.</w:t>
      </w:r>
    </w:p>
    <w:p w14:paraId="34481EC7" w14:textId="77777777" w:rsidR="00D92B78" w:rsidRPr="00D92B78" w:rsidRDefault="00D92B78" w:rsidP="00D92B78">
      <w:pPr>
        <w:pStyle w:val="ListParagraph"/>
        <w:ind w:left="0"/>
      </w:pPr>
    </w:p>
    <w:p w14:paraId="4DD17668" w14:textId="04C1FE2A" w:rsidR="00D92B78" w:rsidRPr="00D92B78" w:rsidRDefault="00D92B78" w:rsidP="00D92B78">
      <w:pPr>
        <w:pStyle w:val="ListParagraph"/>
        <w:numPr>
          <w:ilvl w:val="0"/>
          <w:numId w:val="10"/>
        </w:numPr>
        <w:ind w:left="0"/>
      </w:pPr>
      <w:r w:rsidRPr="00D92B78">
        <w:t>We are pleased to see that the Government intends to keep in place the £20pw Universal Credit uplift for a further six months.  This must be kept in place for as long as it is needed to ensure that the national benefits system is the principle source of support for low income households.  We are discussing with DWP the need to review the vital role of councils in the welfare system, including the role of discretionary funding and support for claimants.</w:t>
      </w:r>
    </w:p>
    <w:p w14:paraId="10EACC3C" w14:textId="05058FEC" w:rsidR="005B7501" w:rsidRPr="00D92B78" w:rsidRDefault="005B7501" w:rsidP="00D92B78">
      <w:pPr>
        <w:tabs>
          <w:tab w:val="left" w:pos="142"/>
          <w:tab w:val="num" w:pos="360"/>
        </w:tabs>
      </w:pPr>
    </w:p>
    <w:p w14:paraId="416F0688" w14:textId="77777777" w:rsidR="00C635E9" w:rsidRPr="00D92B78" w:rsidRDefault="00C635E9" w:rsidP="00D92B78">
      <w:pPr>
        <w:tabs>
          <w:tab w:val="left" w:pos="142"/>
          <w:tab w:val="num" w:pos="360"/>
        </w:tabs>
      </w:pPr>
    </w:p>
    <w:p w14:paraId="338DE3F7" w14:textId="1BF63A3B" w:rsidR="003D4479" w:rsidRPr="00D92B78" w:rsidRDefault="003D4479" w:rsidP="00D92B78">
      <w:pPr>
        <w:pStyle w:val="ListParagraph"/>
        <w:tabs>
          <w:tab w:val="left" w:pos="142"/>
          <w:tab w:val="left" w:pos="1982"/>
        </w:tabs>
        <w:ind w:left="0"/>
        <w:rPr>
          <w:b/>
          <w:bCs/>
          <w:sz w:val="24"/>
          <w:szCs w:val="24"/>
        </w:rPr>
      </w:pPr>
      <w:r w:rsidRPr="00D92B78">
        <w:rPr>
          <w:b/>
          <w:bCs/>
          <w:sz w:val="24"/>
          <w:szCs w:val="24"/>
        </w:rPr>
        <w:t xml:space="preserve">EU </w:t>
      </w:r>
      <w:r w:rsidR="007605D5" w:rsidRPr="00D92B78">
        <w:rPr>
          <w:b/>
          <w:bCs/>
          <w:sz w:val="24"/>
          <w:szCs w:val="24"/>
        </w:rPr>
        <w:t>Funding</w:t>
      </w:r>
      <w:r w:rsidR="00EA37EF" w:rsidRPr="00D92B78">
        <w:rPr>
          <w:b/>
          <w:bCs/>
          <w:sz w:val="24"/>
          <w:szCs w:val="24"/>
        </w:rPr>
        <w:tab/>
      </w:r>
    </w:p>
    <w:p w14:paraId="65A68943" w14:textId="77777777" w:rsidR="003D4479" w:rsidRPr="00D92B78" w:rsidRDefault="003D4479" w:rsidP="00D92B78">
      <w:pPr>
        <w:pStyle w:val="ListParagraph"/>
        <w:tabs>
          <w:tab w:val="left" w:pos="142"/>
        </w:tabs>
        <w:ind w:left="0"/>
        <w:rPr>
          <w:lang w:eastAsia="en-GB"/>
        </w:rPr>
      </w:pPr>
    </w:p>
    <w:p w14:paraId="652E7CA9" w14:textId="22B00680" w:rsidR="008154CD" w:rsidRPr="00D92B78" w:rsidRDefault="008154CD" w:rsidP="00D92B78">
      <w:pPr>
        <w:pStyle w:val="ListParagraph"/>
        <w:numPr>
          <w:ilvl w:val="0"/>
          <w:numId w:val="10"/>
        </w:numPr>
        <w:ind w:left="0"/>
      </w:pPr>
      <w:r w:rsidRPr="00D92B78">
        <w:t>Through the Growth Programme Board and Performance and Dispute Resolution National Sub-Committee, the LGA has monitored the performance of the European Structural and Investment Fund to ensure that England receives the full amount and that it is spent in local communities to help local economies recover. The LGA continue to work with members to help shape the use of the reserve fund to support economic recovery.</w:t>
      </w:r>
    </w:p>
    <w:p w14:paraId="43714513" w14:textId="77777777" w:rsidR="008154CD" w:rsidRPr="00D92B78" w:rsidRDefault="008154CD" w:rsidP="00D92B78">
      <w:pPr>
        <w:pStyle w:val="ListParagraph"/>
        <w:ind w:left="0"/>
      </w:pPr>
    </w:p>
    <w:p w14:paraId="6B73B008" w14:textId="676F43A6" w:rsidR="008154CD" w:rsidRPr="00D92B78" w:rsidRDefault="008154CD" w:rsidP="00D92B78">
      <w:pPr>
        <w:pStyle w:val="ListParagraph"/>
        <w:numPr>
          <w:ilvl w:val="0"/>
          <w:numId w:val="10"/>
        </w:numPr>
        <w:ind w:left="0"/>
      </w:pPr>
      <w:proofErr w:type="gramStart"/>
      <w:r w:rsidRPr="00D92B78">
        <w:t>Following calls by the LGA, there</w:t>
      </w:r>
      <w:proofErr w:type="gramEnd"/>
      <w:r w:rsidRPr="00D92B78">
        <w:t xml:space="preserve"> have been signs that capacity has improved to help ensure all the remaining ESIF funds are spent and delivered by the programme</w:t>
      </w:r>
      <w:r w:rsidR="00D56477" w:rsidRPr="00D92B78">
        <w:t xml:space="preserve">’s </w:t>
      </w:r>
      <w:r w:rsidRPr="00D92B78">
        <w:t>end in 2023.</w:t>
      </w:r>
    </w:p>
    <w:p w14:paraId="5E756502" w14:textId="77777777" w:rsidR="003D4479" w:rsidRPr="00D92B78" w:rsidRDefault="003D4479" w:rsidP="00D92B78">
      <w:pPr>
        <w:tabs>
          <w:tab w:val="left" w:pos="142"/>
          <w:tab w:val="num" w:pos="360"/>
        </w:tabs>
      </w:pPr>
    </w:p>
    <w:p w14:paraId="60A92D25" w14:textId="77777777" w:rsidR="002E0C16" w:rsidRPr="00D92B78" w:rsidRDefault="002E0C16" w:rsidP="00D92B78">
      <w:pPr>
        <w:tabs>
          <w:tab w:val="left" w:pos="142"/>
        </w:tabs>
      </w:pPr>
    </w:p>
    <w:p w14:paraId="5535CEEA" w14:textId="77777777" w:rsidR="002E0C16" w:rsidRPr="00D92B78" w:rsidRDefault="002E0C16" w:rsidP="00D92B78">
      <w:pPr>
        <w:tabs>
          <w:tab w:val="left" w:pos="142"/>
        </w:tabs>
        <w:autoSpaceDE w:val="0"/>
        <w:autoSpaceDN w:val="0"/>
        <w:adjustRightInd w:val="0"/>
        <w:ind w:firstLine="360"/>
      </w:pPr>
      <w:r w:rsidRPr="00D92B78">
        <w:rPr>
          <w:b/>
          <w:bCs/>
        </w:rPr>
        <w:t>Contact officer:</w:t>
      </w:r>
      <w:r w:rsidRPr="00D92B78">
        <w:rPr>
          <w:b/>
          <w:bCs/>
        </w:rPr>
        <w:tab/>
      </w:r>
      <w:r w:rsidRPr="00D92B78">
        <w:rPr>
          <w:b/>
          <w:bCs/>
        </w:rPr>
        <w:tab/>
      </w:r>
      <w:r w:rsidRPr="00D92B78">
        <w:rPr>
          <w:b/>
          <w:bCs/>
        </w:rPr>
        <w:tab/>
      </w:r>
      <w:r w:rsidRPr="00D92B78">
        <w:t>Sarah Pickup</w:t>
      </w:r>
    </w:p>
    <w:p w14:paraId="0C4FC51F" w14:textId="77777777" w:rsidR="002E0C16" w:rsidRPr="00D92B78" w:rsidRDefault="002E0C16" w:rsidP="00D92B78">
      <w:pPr>
        <w:tabs>
          <w:tab w:val="left" w:pos="142"/>
        </w:tabs>
        <w:autoSpaceDE w:val="0"/>
        <w:autoSpaceDN w:val="0"/>
        <w:adjustRightInd w:val="0"/>
        <w:ind w:firstLine="360"/>
      </w:pPr>
      <w:r w:rsidRPr="00D92B78">
        <w:rPr>
          <w:b/>
          <w:bCs/>
        </w:rPr>
        <w:t xml:space="preserve">Position: </w:t>
      </w:r>
      <w:r w:rsidRPr="00D92B78">
        <w:rPr>
          <w:b/>
          <w:bCs/>
        </w:rPr>
        <w:tab/>
      </w:r>
      <w:r w:rsidRPr="00D92B78">
        <w:rPr>
          <w:b/>
          <w:bCs/>
        </w:rPr>
        <w:tab/>
      </w:r>
      <w:r w:rsidRPr="00D92B78">
        <w:rPr>
          <w:b/>
          <w:bCs/>
        </w:rPr>
        <w:tab/>
      </w:r>
      <w:r w:rsidRPr="00D92B78">
        <w:rPr>
          <w:b/>
          <w:bCs/>
        </w:rPr>
        <w:tab/>
      </w:r>
      <w:r w:rsidRPr="00D92B78">
        <w:t>Deputy Chief Executive</w:t>
      </w:r>
    </w:p>
    <w:p w14:paraId="6B49EF21" w14:textId="77777777" w:rsidR="002E0C16" w:rsidRPr="00D92B78" w:rsidRDefault="002E0C16" w:rsidP="00D92B78">
      <w:pPr>
        <w:tabs>
          <w:tab w:val="left" w:pos="142"/>
        </w:tabs>
        <w:autoSpaceDE w:val="0"/>
        <w:autoSpaceDN w:val="0"/>
        <w:adjustRightInd w:val="0"/>
        <w:ind w:firstLine="360"/>
      </w:pPr>
      <w:r w:rsidRPr="00D92B78">
        <w:rPr>
          <w:b/>
          <w:bCs/>
        </w:rPr>
        <w:t xml:space="preserve">Phone no: </w:t>
      </w:r>
      <w:r w:rsidRPr="00D92B78">
        <w:rPr>
          <w:b/>
          <w:bCs/>
        </w:rPr>
        <w:tab/>
      </w:r>
      <w:r w:rsidRPr="00D92B78">
        <w:rPr>
          <w:b/>
          <w:bCs/>
        </w:rPr>
        <w:tab/>
      </w:r>
      <w:r w:rsidRPr="00D92B78">
        <w:rPr>
          <w:b/>
          <w:bCs/>
        </w:rPr>
        <w:tab/>
      </w:r>
      <w:r w:rsidRPr="00D92B78">
        <w:t>02076643109</w:t>
      </w:r>
    </w:p>
    <w:p w14:paraId="2F4F2218" w14:textId="75DE8861" w:rsidR="007608B5" w:rsidRPr="00D92B78" w:rsidRDefault="002E0C16" w:rsidP="00D92B78">
      <w:pPr>
        <w:keepLines/>
        <w:tabs>
          <w:tab w:val="left" w:pos="142"/>
        </w:tabs>
        <w:ind w:firstLine="360"/>
        <w:rPr>
          <w:rStyle w:val="normaltextrun1"/>
        </w:rPr>
      </w:pPr>
      <w:r w:rsidRPr="00D92B78">
        <w:rPr>
          <w:b/>
          <w:bCs/>
        </w:rPr>
        <w:t xml:space="preserve">Email: </w:t>
      </w:r>
      <w:r w:rsidRPr="00D92B78">
        <w:rPr>
          <w:b/>
          <w:bCs/>
        </w:rPr>
        <w:tab/>
      </w:r>
      <w:r w:rsidRPr="00D92B78">
        <w:rPr>
          <w:b/>
          <w:bCs/>
        </w:rPr>
        <w:tab/>
      </w:r>
      <w:r w:rsidRPr="00D92B78">
        <w:rPr>
          <w:b/>
          <w:bCs/>
        </w:rPr>
        <w:tab/>
      </w:r>
      <w:r w:rsidRPr="00D92B78">
        <w:rPr>
          <w:b/>
          <w:bCs/>
        </w:rPr>
        <w:tab/>
      </w:r>
      <w:hyperlink r:id="rId28" w:history="1">
        <w:r w:rsidRPr="00D92B78">
          <w:rPr>
            <w:rStyle w:val="Hyperlink"/>
          </w:rPr>
          <w:t>sarah.pickup@local.gov.uk</w:t>
        </w:r>
      </w:hyperlink>
      <w:r w:rsidRPr="00D92B78">
        <w:t xml:space="preserve"> </w:t>
      </w:r>
    </w:p>
    <w:sectPr w:rsidR="007608B5" w:rsidRPr="00D92B78" w:rsidSect="0038231E">
      <w:headerReference w:type="first" r:id="rId29"/>
      <w:footerReference w:type="first" r:id="rId3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1499C" w14:textId="77777777" w:rsidR="006A7B88" w:rsidRDefault="006A7B88" w:rsidP="00563AF8">
      <w:r>
        <w:separator/>
      </w:r>
    </w:p>
  </w:endnote>
  <w:endnote w:type="continuationSeparator" w:id="0">
    <w:p w14:paraId="64A3FC7C" w14:textId="77777777" w:rsidR="006A7B88" w:rsidRDefault="006A7B88" w:rsidP="00563AF8">
      <w:r>
        <w:continuationSeparator/>
      </w:r>
    </w:p>
  </w:endnote>
  <w:endnote w:type="continuationNotice" w:id="1">
    <w:p w14:paraId="3B8F330F" w14:textId="77777777" w:rsidR="006A7B88" w:rsidRDefault="006A7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3133" w14:textId="77777777" w:rsidR="00154DD1" w:rsidRPr="00E17028" w:rsidRDefault="00154DD1" w:rsidP="00154DD1">
    <w:pPr>
      <w:widowControl w:val="0"/>
      <w:spacing w:line="220" w:lineRule="exact"/>
      <w:ind w:left="-709" w:right="-852"/>
      <w:jc w:val="center"/>
      <w:rPr>
        <w:rFonts w:eastAsia="Times New Roman"/>
        <w:sz w:val="15"/>
        <w:szCs w:val="15"/>
        <w:lang w:eastAsia="en-GB"/>
      </w:rPr>
    </w:pPr>
    <w:r w:rsidRPr="00E17028">
      <w:rPr>
        <w:rFonts w:eastAsia="Times New Roman"/>
        <w:sz w:val="15"/>
        <w:szCs w:val="15"/>
        <w:lang w:eastAsia="en-GB"/>
      </w:rPr>
      <w:t xml:space="preserve">18 Smith Square, London, SW1P 3HZ    </w:t>
    </w:r>
    <w:hyperlink r:id="rId1" w:history="1">
      <w:r w:rsidRPr="00E17028">
        <w:rPr>
          <w:rStyle w:val="Hyperlink"/>
          <w:rFonts w:eastAsia="Times New Roman"/>
          <w:color w:val="000000"/>
          <w:sz w:val="15"/>
          <w:szCs w:val="15"/>
          <w:u w:val="none"/>
          <w:lang w:eastAsia="en-GB"/>
        </w:rPr>
        <w:t>www.local.gov.uk</w:t>
      </w:r>
    </w:hyperlink>
    <w:r w:rsidRPr="00E17028">
      <w:rPr>
        <w:rFonts w:eastAsia="Times New Roman"/>
        <w:sz w:val="15"/>
        <w:szCs w:val="15"/>
        <w:lang w:eastAsia="en-GB"/>
      </w:rPr>
      <w:t xml:space="preserve">    Telephone 020 7664 3000    Email </w:t>
    </w:r>
    <w:hyperlink r:id="rId2" w:history="1">
      <w:r w:rsidRPr="00E17028">
        <w:rPr>
          <w:rStyle w:val="Hyperlink"/>
          <w:rFonts w:eastAsia="Times New Roman"/>
          <w:color w:val="000000"/>
          <w:sz w:val="15"/>
          <w:szCs w:val="15"/>
          <w:u w:val="none"/>
          <w:lang w:eastAsia="en-GB"/>
        </w:rPr>
        <w:t>info@local.gov.uk</w:t>
      </w:r>
    </w:hyperlink>
    <w:r w:rsidRPr="00E17028">
      <w:rPr>
        <w:rFonts w:eastAsia="Times New Roman"/>
        <w:sz w:val="15"/>
        <w:szCs w:val="15"/>
        <w:lang w:eastAsia="en-GB"/>
      </w:rPr>
      <w:t xml:space="preserve">    Chief Executive: Mark Lloyd </w:t>
    </w:r>
    <w:r w:rsidRPr="00E17028">
      <w:rPr>
        <w:rFonts w:eastAsia="Times New Roman"/>
        <w:sz w:val="15"/>
        <w:szCs w:val="15"/>
        <w:lang w:eastAsia="en-GB"/>
      </w:rPr>
      <w:br/>
      <w:t xml:space="preserve">Local Government Association </w:t>
    </w:r>
    <w:r w:rsidRPr="00E17028">
      <w:rPr>
        <w:rFonts w:eastAsia="Times New Roman"/>
        <w:noProof/>
        <w:sz w:val="15"/>
        <w:szCs w:val="15"/>
        <w:lang w:eastAsia="en-GB"/>
      </w:rPr>
      <w:t>company number 11177145</w:t>
    </w:r>
    <w:r w:rsidRPr="00E17028">
      <w:rPr>
        <w:rFonts w:eastAsia="Times New Roman"/>
        <w:sz w:val="15"/>
        <w:szCs w:val="15"/>
        <w:lang w:eastAsia="en-GB"/>
      </w:rPr>
      <w:t>  Improvement and Development Agency for Local Government company number 03675577</w:t>
    </w:r>
  </w:p>
  <w:p w14:paraId="27566266" w14:textId="1BDFF247" w:rsidR="00154DD1" w:rsidRDefault="00154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95D42" w14:textId="77777777" w:rsidR="006A7B88" w:rsidRDefault="006A7B88" w:rsidP="00563AF8">
      <w:r>
        <w:separator/>
      </w:r>
    </w:p>
  </w:footnote>
  <w:footnote w:type="continuationSeparator" w:id="0">
    <w:p w14:paraId="51074CF1" w14:textId="77777777" w:rsidR="006A7B88" w:rsidRDefault="006A7B88" w:rsidP="00563AF8">
      <w:r>
        <w:continuationSeparator/>
      </w:r>
    </w:p>
  </w:footnote>
  <w:footnote w:type="continuationNotice" w:id="1">
    <w:p w14:paraId="771E2CB8" w14:textId="77777777" w:rsidR="006A7B88" w:rsidRDefault="006A7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F984" w14:textId="77777777" w:rsidR="0038231E" w:rsidRDefault="0038231E" w:rsidP="0038231E">
    <w:pPr>
      <w:pStyle w:val="Heade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38231E" w:rsidRPr="00C25CA7" w14:paraId="5A0AFB67" w14:textId="77777777" w:rsidTr="00B252F1">
      <w:trPr>
        <w:trHeight w:val="437"/>
      </w:trPr>
      <w:tc>
        <w:tcPr>
          <w:tcW w:w="5951" w:type="dxa"/>
          <w:vMerge w:val="restart"/>
        </w:tcPr>
        <w:p w14:paraId="4D02F7EC" w14:textId="77777777" w:rsidR="0038231E" w:rsidRPr="00C803F3" w:rsidRDefault="0038231E" w:rsidP="0038231E">
          <w:pPr>
            <w:tabs>
              <w:tab w:val="left" w:pos="4106"/>
            </w:tabs>
          </w:pPr>
          <w:r w:rsidRPr="00C803F3">
            <w:rPr>
              <w:noProof/>
            </w:rPr>
            <w:drawing>
              <wp:inline distT="0" distB="0" distL="0" distR="0" wp14:anchorId="1CAB53D2" wp14:editId="73BB66C5">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r>
            <w:tab/>
          </w:r>
        </w:p>
      </w:tc>
      <w:tc>
        <w:tcPr>
          <w:tcW w:w="4204" w:type="dxa"/>
        </w:tcPr>
        <w:p w14:paraId="05EDF0B4" w14:textId="77777777" w:rsidR="0038231E" w:rsidRDefault="0038231E" w:rsidP="0038231E">
          <w:pPr>
            <w:rPr>
              <w:b/>
            </w:rPr>
          </w:pPr>
        </w:p>
        <w:p w14:paraId="1437E64F" w14:textId="77777777" w:rsidR="0038231E" w:rsidRDefault="0038231E" w:rsidP="0038231E">
          <w:pPr>
            <w:rPr>
              <w:b/>
            </w:rPr>
          </w:pPr>
        </w:p>
        <w:sdt>
          <w:sdtPr>
            <w:rPr>
              <w:b/>
            </w:rPr>
            <w:alias w:val="Board"/>
            <w:tag w:val="Board"/>
            <w:id w:val="416908834"/>
            <w:placeholder>
              <w:docPart w:val="F35C1E308FBF4BBABD8F06FB83717CCE"/>
            </w:placeholder>
          </w:sdtPr>
          <w:sdtEndPr/>
          <w:sdtContent>
            <w:p w14:paraId="3F8B3207" w14:textId="77777777" w:rsidR="0038231E" w:rsidRPr="00B42601" w:rsidRDefault="0038231E" w:rsidP="0038231E">
              <w:pPr>
                <w:rPr>
                  <w:b/>
                </w:rPr>
              </w:pPr>
              <w:r>
                <w:rPr>
                  <w:b/>
                </w:rPr>
                <w:t xml:space="preserve">Councillors’ Forum </w:t>
              </w:r>
            </w:p>
          </w:sdtContent>
        </w:sdt>
      </w:tc>
    </w:tr>
    <w:tr w:rsidR="0038231E" w14:paraId="3A7F64D1" w14:textId="77777777" w:rsidTr="00B252F1">
      <w:trPr>
        <w:trHeight w:val="499"/>
      </w:trPr>
      <w:tc>
        <w:tcPr>
          <w:tcW w:w="5951" w:type="dxa"/>
          <w:vMerge/>
        </w:tcPr>
        <w:p w14:paraId="725B757B" w14:textId="77777777" w:rsidR="0038231E" w:rsidRPr="00A627DD" w:rsidRDefault="0038231E" w:rsidP="0038231E"/>
      </w:tc>
      <w:tc>
        <w:tcPr>
          <w:tcW w:w="4204" w:type="dxa"/>
        </w:tcPr>
        <w:sdt>
          <w:sdtPr>
            <w:alias w:val="Date"/>
            <w:tag w:val="Date"/>
            <w:id w:val="-488943452"/>
            <w:placeholder>
              <w:docPart w:val="550C4AF824624B0EAF88696FA36B72EA"/>
            </w:placeholder>
            <w:date w:fullDate="2021-03-11T00:00:00Z">
              <w:dateFormat w:val="dd MMMM yyyy"/>
              <w:lid w:val="en-GB"/>
              <w:storeMappedDataAs w:val="dateTime"/>
              <w:calendar w:val="gregorian"/>
            </w:date>
          </w:sdtPr>
          <w:sdtEndPr/>
          <w:sdtContent>
            <w:p w14:paraId="39B6F26F" w14:textId="77777777" w:rsidR="0038231E" w:rsidRPr="00C803F3" w:rsidRDefault="0038231E" w:rsidP="0038231E">
              <w:r>
                <w:t>11 March 2021</w:t>
              </w:r>
            </w:p>
          </w:sdtContent>
        </w:sdt>
      </w:tc>
    </w:tr>
  </w:tbl>
  <w:p w14:paraId="7C32B905" w14:textId="77777777" w:rsidR="0038231E" w:rsidRDefault="00382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6057"/>
    <w:multiLevelType w:val="multilevel"/>
    <w:tmpl w:val="4C5C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03925"/>
    <w:multiLevelType w:val="hybridMultilevel"/>
    <w:tmpl w:val="D37E4488"/>
    <w:lvl w:ilvl="0" w:tplc="E7565B2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D19FB"/>
    <w:multiLevelType w:val="multilevel"/>
    <w:tmpl w:val="BF62B10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412656"/>
    <w:multiLevelType w:val="multilevel"/>
    <w:tmpl w:val="4D865BC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93772B"/>
    <w:multiLevelType w:val="multilevel"/>
    <w:tmpl w:val="0F84B60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1A7AA5"/>
    <w:multiLevelType w:val="hybridMultilevel"/>
    <w:tmpl w:val="9C4E09B4"/>
    <w:lvl w:ilvl="0" w:tplc="4CE8BE30">
      <w:start w:val="7"/>
      <w:numFmt w:val="decimal"/>
      <w:lvlText w:val="%1."/>
      <w:lvlJc w:val="left"/>
      <w:pPr>
        <w:tabs>
          <w:tab w:val="num" w:pos="720"/>
        </w:tabs>
        <w:ind w:left="720" w:hanging="360"/>
      </w:pPr>
    </w:lvl>
    <w:lvl w:ilvl="1" w:tplc="D2DA95BE">
      <w:start w:val="1"/>
      <w:numFmt w:val="decimal"/>
      <w:lvlText w:val="%2."/>
      <w:lvlJc w:val="left"/>
      <w:pPr>
        <w:tabs>
          <w:tab w:val="num" w:pos="1440"/>
        </w:tabs>
        <w:ind w:left="1440" w:hanging="360"/>
      </w:pPr>
    </w:lvl>
    <w:lvl w:ilvl="2" w:tplc="2746157A" w:tentative="1">
      <w:start w:val="1"/>
      <w:numFmt w:val="decimal"/>
      <w:lvlText w:val="%3."/>
      <w:lvlJc w:val="left"/>
      <w:pPr>
        <w:tabs>
          <w:tab w:val="num" w:pos="2160"/>
        </w:tabs>
        <w:ind w:left="2160" w:hanging="360"/>
      </w:pPr>
    </w:lvl>
    <w:lvl w:ilvl="3" w:tplc="3472665A" w:tentative="1">
      <w:start w:val="1"/>
      <w:numFmt w:val="decimal"/>
      <w:lvlText w:val="%4."/>
      <w:lvlJc w:val="left"/>
      <w:pPr>
        <w:tabs>
          <w:tab w:val="num" w:pos="2880"/>
        </w:tabs>
        <w:ind w:left="2880" w:hanging="360"/>
      </w:pPr>
    </w:lvl>
    <w:lvl w:ilvl="4" w:tplc="0212D338" w:tentative="1">
      <w:start w:val="1"/>
      <w:numFmt w:val="decimal"/>
      <w:lvlText w:val="%5."/>
      <w:lvlJc w:val="left"/>
      <w:pPr>
        <w:tabs>
          <w:tab w:val="num" w:pos="3600"/>
        </w:tabs>
        <w:ind w:left="3600" w:hanging="360"/>
      </w:pPr>
    </w:lvl>
    <w:lvl w:ilvl="5" w:tplc="C42C7008" w:tentative="1">
      <w:start w:val="1"/>
      <w:numFmt w:val="decimal"/>
      <w:lvlText w:val="%6."/>
      <w:lvlJc w:val="left"/>
      <w:pPr>
        <w:tabs>
          <w:tab w:val="num" w:pos="4320"/>
        </w:tabs>
        <w:ind w:left="4320" w:hanging="360"/>
      </w:pPr>
    </w:lvl>
    <w:lvl w:ilvl="6" w:tplc="50FC59EE" w:tentative="1">
      <w:start w:val="1"/>
      <w:numFmt w:val="decimal"/>
      <w:lvlText w:val="%7."/>
      <w:lvlJc w:val="left"/>
      <w:pPr>
        <w:tabs>
          <w:tab w:val="num" w:pos="5040"/>
        </w:tabs>
        <w:ind w:left="5040" w:hanging="360"/>
      </w:pPr>
    </w:lvl>
    <w:lvl w:ilvl="7" w:tplc="72F6DF90" w:tentative="1">
      <w:start w:val="1"/>
      <w:numFmt w:val="decimal"/>
      <w:lvlText w:val="%8."/>
      <w:lvlJc w:val="left"/>
      <w:pPr>
        <w:tabs>
          <w:tab w:val="num" w:pos="5760"/>
        </w:tabs>
        <w:ind w:left="5760" w:hanging="360"/>
      </w:pPr>
    </w:lvl>
    <w:lvl w:ilvl="8" w:tplc="31D40BC4" w:tentative="1">
      <w:start w:val="1"/>
      <w:numFmt w:val="decimal"/>
      <w:lvlText w:val="%9."/>
      <w:lvlJc w:val="left"/>
      <w:pPr>
        <w:tabs>
          <w:tab w:val="num" w:pos="6480"/>
        </w:tabs>
        <w:ind w:left="6480" w:hanging="360"/>
      </w:pPr>
    </w:lvl>
  </w:abstractNum>
  <w:abstractNum w:abstractNumId="6" w15:restartNumberingAfterBreak="0">
    <w:nsid w:val="2E605DCB"/>
    <w:multiLevelType w:val="hybridMultilevel"/>
    <w:tmpl w:val="EC3A04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6778B"/>
    <w:multiLevelType w:val="multilevel"/>
    <w:tmpl w:val="A8FC786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15:restartNumberingAfterBreak="0">
    <w:nsid w:val="38A667BF"/>
    <w:multiLevelType w:val="hybridMultilevel"/>
    <w:tmpl w:val="BD48F916"/>
    <w:lvl w:ilvl="0" w:tplc="90A8027C">
      <w:start w:val="1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DA81DF4"/>
    <w:multiLevelType w:val="hybridMultilevel"/>
    <w:tmpl w:val="0CF463C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D73853"/>
    <w:multiLevelType w:val="hybridMultilevel"/>
    <w:tmpl w:val="49F6EB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3F7622"/>
    <w:multiLevelType w:val="hybridMultilevel"/>
    <w:tmpl w:val="0834EFE0"/>
    <w:lvl w:ilvl="0" w:tplc="F61C18B6">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056CC0"/>
    <w:multiLevelType w:val="hybridMultilevel"/>
    <w:tmpl w:val="C504B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431E90"/>
    <w:multiLevelType w:val="hybridMultilevel"/>
    <w:tmpl w:val="813EADF4"/>
    <w:lvl w:ilvl="0" w:tplc="E7565B2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400D24"/>
    <w:multiLevelType w:val="hybridMultilevel"/>
    <w:tmpl w:val="EC3A04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B90D6F"/>
    <w:multiLevelType w:val="hybridMultilevel"/>
    <w:tmpl w:val="29FCED08"/>
    <w:lvl w:ilvl="0" w:tplc="008A064E">
      <w:start w:val="20"/>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317B54"/>
    <w:multiLevelType w:val="hybridMultilevel"/>
    <w:tmpl w:val="B706FD1E"/>
    <w:lvl w:ilvl="0" w:tplc="3124B7FC">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8" w15:restartNumberingAfterBreak="0">
    <w:nsid w:val="5C637E7F"/>
    <w:multiLevelType w:val="multilevel"/>
    <w:tmpl w:val="4D865BC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5F9210D"/>
    <w:multiLevelType w:val="hybridMultilevel"/>
    <w:tmpl w:val="40F67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6E0E4D"/>
    <w:multiLevelType w:val="hybridMultilevel"/>
    <w:tmpl w:val="90EAE6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E4A2E8C"/>
    <w:multiLevelType w:val="hybridMultilevel"/>
    <w:tmpl w:val="77348F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19"/>
  </w:num>
  <w:num w:numId="6">
    <w:abstractNumId w:val="18"/>
  </w:num>
  <w:num w:numId="7">
    <w:abstractNumId w:val="2"/>
  </w:num>
  <w:num w:numId="8">
    <w:abstractNumId w:val="3"/>
  </w:num>
  <w:num w:numId="9">
    <w:abstractNumId w:val="3"/>
  </w:num>
  <w:num w:numId="10">
    <w:abstractNumId w:val="12"/>
  </w:num>
  <w:num w:numId="11">
    <w:abstractNumId w:val="17"/>
  </w:num>
  <w:num w:numId="12">
    <w:abstractNumId w:val="4"/>
  </w:num>
  <w:num w:numId="13">
    <w:abstractNumId w:val="17"/>
  </w:num>
  <w:num w:numId="14">
    <w:abstractNumId w:val="13"/>
  </w:num>
  <w:num w:numId="15">
    <w:abstractNumId w:val="1"/>
  </w:num>
  <w:num w:numId="16">
    <w:abstractNumId w:val="14"/>
  </w:num>
  <w:num w:numId="17">
    <w:abstractNumId w:val="16"/>
  </w:num>
  <w:num w:numId="18">
    <w:abstractNumId w:val="11"/>
  </w:num>
  <w:num w:numId="19">
    <w:abstractNumId w:val="0"/>
  </w:num>
  <w:num w:numId="20">
    <w:abstractNumId w:val="21"/>
  </w:num>
  <w:num w:numId="21">
    <w:abstractNumId w:val="15"/>
  </w:num>
  <w:num w:numId="22">
    <w:abstractNumId w:val="6"/>
  </w:num>
  <w:num w:numId="23">
    <w:abstractNumId w:val="8"/>
  </w:num>
  <w:num w:numId="24">
    <w:abstractNumId w:val="9"/>
  </w:num>
  <w:num w:numId="25">
    <w:abstractNumId w:val="10"/>
  </w:num>
  <w:num w:numId="26">
    <w:abstractNumId w:val="10"/>
  </w:num>
  <w:num w:numId="2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D5"/>
    <w:rsid w:val="0000712B"/>
    <w:rsid w:val="000102DE"/>
    <w:rsid w:val="000172D4"/>
    <w:rsid w:val="00017BD1"/>
    <w:rsid w:val="00024C08"/>
    <w:rsid w:val="00025EAA"/>
    <w:rsid w:val="000442D7"/>
    <w:rsid w:val="00051414"/>
    <w:rsid w:val="00051DE5"/>
    <w:rsid w:val="00056740"/>
    <w:rsid w:val="00057DF0"/>
    <w:rsid w:val="00061981"/>
    <w:rsid w:val="00063936"/>
    <w:rsid w:val="00063BDC"/>
    <w:rsid w:val="000717D3"/>
    <w:rsid w:val="00071998"/>
    <w:rsid w:val="00076259"/>
    <w:rsid w:val="000904D5"/>
    <w:rsid w:val="00092341"/>
    <w:rsid w:val="00092D15"/>
    <w:rsid w:val="00095D5B"/>
    <w:rsid w:val="00096E58"/>
    <w:rsid w:val="000B45BF"/>
    <w:rsid w:val="000C78D4"/>
    <w:rsid w:val="000D0D82"/>
    <w:rsid w:val="000D15E7"/>
    <w:rsid w:val="000D7A05"/>
    <w:rsid w:val="000E59CB"/>
    <w:rsid w:val="000E630C"/>
    <w:rsid w:val="000E6699"/>
    <w:rsid w:val="000F7160"/>
    <w:rsid w:val="001011DC"/>
    <w:rsid w:val="00101E38"/>
    <w:rsid w:val="00102A4B"/>
    <w:rsid w:val="00104A85"/>
    <w:rsid w:val="001117D2"/>
    <w:rsid w:val="001216E3"/>
    <w:rsid w:val="00125F20"/>
    <w:rsid w:val="00130CEB"/>
    <w:rsid w:val="001350A0"/>
    <w:rsid w:val="001369D7"/>
    <w:rsid w:val="00140A47"/>
    <w:rsid w:val="00142C19"/>
    <w:rsid w:val="001434A5"/>
    <w:rsid w:val="00146339"/>
    <w:rsid w:val="00147D2A"/>
    <w:rsid w:val="00150C02"/>
    <w:rsid w:val="00152B79"/>
    <w:rsid w:val="0015367B"/>
    <w:rsid w:val="00154DD1"/>
    <w:rsid w:val="001565C2"/>
    <w:rsid w:val="0017435E"/>
    <w:rsid w:val="00177B4A"/>
    <w:rsid w:val="00180C7A"/>
    <w:rsid w:val="001830AE"/>
    <w:rsid w:val="00185974"/>
    <w:rsid w:val="00191B71"/>
    <w:rsid w:val="0019368C"/>
    <w:rsid w:val="001A2435"/>
    <w:rsid w:val="001A3898"/>
    <w:rsid w:val="001B0AE8"/>
    <w:rsid w:val="001B178E"/>
    <w:rsid w:val="001B36CE"/>
    <w:rsid w:val="001B380F"/>
    <w:rsid w:val="001D2819"/>
    <w:rsid w:val="001D5ECC"/>
    <w:rsid w:val="001E58D5"/>
    <w:rsid w:val="001F4AEB"/>
    <w:rsid w:val="00201C34"/>
    <w:rsid w:val="002060DE"/>
    <w:rsid w:val="002111E9"/>
    <w:rsid w:val="00213518"/>
    <w:rsid w:val="0021505C"/>
    <w:rsid w:val="002175CA"/>
    <w:rsid w:val="00226A28"/>
    <w:rsid w:val="00231781"/>
    <w:rsid w:val="00232B41"/>
    <w:rsid w:val="00234212"/>
    <w:rsid w:val="00245845"/>
    <w:rsid w:val="00245D06"/>
    <w:rsid w:val="00245D27"/>
    <w:rsid w:val="002473A0"/>
    <w:rsid w:val="0025666D"/>
    <w:rsid w:val="0027113E"/>
    <w:rsid w:val="00272670"/>
    <w:rsid w:val="00272BE9"/>
    <w:rsid w:val="00274882"/>
    <w:rsid w:val="002757B7"/>
    <w:rsid w:val="002859E6"/>
    <w:rsid w:val="0029441C"/>
    <w:rsid w:val="0029671E"/>
    <w:rsid w:val="002A3D8E"/>
    <w:rsid w:val="002A4610"/>
    <w:rsid w:val="002C0CA8"/>
    <w:rsid w:val="002C13B4"/>
    <w:rsid w:val="002C2584"/>
    <w:rsid w:val="002C6C30"/>
    <w:rsid w:val="002D24E2"/>
    <w:rsid w:val="002D522C"/>
    <w:rsid w:val="002D70A0"/>
    <w:rsid w:val="002E0C16"/>
    <w:rsid w:val="002E0D89"/>
    <w:rsid w:val="002E4A5C"/>
    <w:rsid w:val="002E6E91"/>
    <w:rsid w:val="002F0C17"/>
    <w:rsid w:val="00300FF2"/>
    <w:rsid w:val="00303340"/>
    <w:rsid w:val="00303907"/>
    <w:rsid w:val="00315D22"/>
    <w:rsid w:val="00320AC8"/>
    <w:rsid w:val="00322EAC"/>
    <w:rsid w:val="003257B9"/>
    <w:rsid w:val="00331D06"/>
    <w:rsid w:val="00331F30"/>
    <w:rsid w:val="00337723"/>
    <w:rsid w:val="003433DD"/>
    <w:rsid w:val="00354249"/>
    <w:rsid w:val="003611CA"/>
    <w:rsid w:val="00366CE1"/>
    <w:rsid w:val="003742BC"/>
    <w:rsid w:val="0038231E"/>
    <w:rsid w:val="003833A8"/>
    <w:rsid w:val="0038359E"/>
    <w:rsid w:val="00383BD4"/>
    <w:rsid w:val="00387B3B"/>
    <w:rsid w:val="003946BB"/>
    <w:rsid w:val="00397CFD"/>
    <w:rsid w:val="003A2FF8"/>
    <w:rsid w:val="003A334E"/>
    <w:rsid w:val="003A51F7"/>
    <w:rsid w:val="003A576D"/>
    <w:rsid w:val="003B1BE5"/>
    <w:rsid w:val="003B7C9C"/>
    <w:rsid w:val="003C184E"/>
    <w:rsid w:val="003D09CA"/>
    <w:rsid w:val="003D323B"/>
    <w:rsid w:val="003D4479"/>
    <w:rsid w:val="003D4ECB"/>
    <w:rsid w:val="003D5783"/>
    <w:rsid w:val="003D7F55"/>
    <w:rsid w:val="003E34DA"/>
    <w:rsid w:val="003F059C"/>
    <w:rsid w:val="003F07AA"/>
    <w:rsid w:val="0040136A"/>
    <w:rsid w:val="00403ED7"/>
    <w:rsid w:val="0041282E"/>
    <w:rsid w:val="004143BF"/>
    <w:rsid w:val="00421AB6"/>
    <w:rsid w:val="00430D44"/>
    <w:rsid w:val="00432AD3"/>
    <w:rsid w:val="00432DA9"/>
    <w:rsid w:val="00440C4A"/>
    <w:rsid w:val="00444C6B"/>
    <w:rsid w:val="004465FA"/>
    <w:rsid w:val="00447465"/>
    <w:rsid w:val="00452F13"/>
    <w:rsid w:val="00454544"/>
    <w:rsid w:val="00455F9F"/>
    <w:rsid w:val="00457605"/>
    <w:rsid w:val="0046327B"/>
    <w:rsid w:val="004653DA"/>
    <w:rsid w:val="00467956"/>
    <w:rsid w:val="00467BAC"/>
    <w:rsid w:val="00474065"/>
    <w:rsid w:val="00474854"/>
    <w:rsid w:val="00484C8C"/>
    <w:rsid w:val="00486AF2"/>
    <w:rsid w:val="00490E32"/>
    <w:rsid w:val="004943B9"/>
    <w:rsid w:val="004946BD"/>
    <w:rsid w:val="004A7C0D"/>
    <w:rsid w:val="004B5282"/>
    <w:rsid w:val="004C0768"/>
    <w:rsid w:val="004C4F17"/>
    <w:rsid w:val="004C50E1"/>
    <w:rsid w:val="004D3E31"/>
    <w:rsid w:val="004F0001"/>
    <w:rsid w:val="004F1CD1"/>
    <w:rsid w:val="004F2E59"/>
    <w:rsid w:val="004F340B"/>
    <w:rsid w:val="004F6F9E"/>
    <w:rsid w:val="00502B81"/>
    <w:rsid w:val="005060E6"/>
    <w:rsid w:val="005154BE"/>
    <w:rsid w:val="00515CE5"/>
    <w:rsid w:val="00527661"/>
    <w:rsid w:val="00530AE7"/>
    <w:rsid w:val="00530D16"/>
    <w:rsid w:val="00541C23"/>
    <w:rsid w:val="005429AE"/>
    <w:rsid w:val="00560FA6"/>
    <w:rsid w:val="00563AF8"/>
    <w:rsid w:val="00572D13"/>
    <w:rsid w:val="005763D9"/>
    <w:rsid w:val="005764B9"/>
    <w:rsid w:val="005871D5"/>
    <w:rsid w:val="00590002"/>
    <w:rsid w:val="005920EE"/>
    <w:rsid w:val="005926C9"/>
    <w:rsid w:val="005928B9"/>
    <w:rsid w:val="0059795F"/>
    <w:rsid w:val="005A096E"/>
    <w:rsid w:val="005A0ECD"/>
    <w:rsid w:val="005B024B"/>
    <w:rsid w:val="005B447D"/>
    <w:rsid w:val="005B4ABE"/>
    <w:rsid w:val="005B6A7E"/>
    <w:rsid w:val="005B7501"/>
    <w:rsid w:val="005C0AE5"/>
    <w:rsid w:val="005C575D"/>
    <w:rsid w:val="005C60DD"/>
    <w:rsid w:val="005D4B6C"/>
    <w:rsid w:val="005E5866"/>
    <w:rsid w:val="005E7869"/>
    <w:rsid w:val="005F7309"/>
    <w:rsid w:val="006048C2"/>
    <w:rsid w:val="00605453"/>
    <w:rsid w:val="00607A55"/>
    <w:rsid w:val="00610D37"/>
    <w:rsid w:val="0062149C"/>
    <w:rsid w:val="006227D9"/>
    <w:rsid w:val="00625E59"/>
    <w:rsid w:val="00631675"/>
    <w:rsid w:val="00633527"/>
    <w:rsid w:val="00633C63"/>
    <w:rsid w:val="0064037C"/>
    <w:rsid w:val="00642C7B"/>
    <w:rsid w:val="0064432A"/>
    <w:rsid w:val="00644814"/>
    <w:rsid w:val="00644D52"/>
    <w:rsid w:val="00652F64"/>
    <w:rsid w:val="006645A2"/>
    <w:rsid w:val="00664B7F"/>
    <w:rsid w:val="00676C31"/>
    <w:rsid w:val="006846C8"/>
    <w:rsid w:val="00684D1E"/>
    <w:rsid w:val="00686B8B"/>
    <w:rsid w:val="006943F9"/>
    <w:rsid w:val="00694E2E"/>
    <w:rsid w:val="006A3B50"/>
    <w:rsid w:val="006A69FD"/>
    <w:rsid w:val="006A7B88"/>
    <w:rsid w:val="006B3BEE"/>
    <w:rsid w:val="006F2178"/>
    <w:rsid w:val="006F51D0"/>
    <w:rsid w:val="00710B0F"/>
    <w:rsid w:val="00720E86"/>
    <w:rsid w:val="00723837"/>
    <w:rsid w:val="00731D10"/>
    <w:rsid w:val="007365F9"/>
    <w:rsid w:val="00737B39"/>
    <w:rsid w:val="00746872"/>
    <w:rsid w:val="00750714"/>
    <w:rsid w:val="007605D5"/>
    <w:rsid w:val="007608B5"/>
    <w:rsid w:val="0078262C"/>
    <w:rsid w:val="00783B68"/>
    <w:rsid w:val="00785E6C"/>
    <w:rsid w:val="00792265"/>
    <w:rsid w:val="00796650"/>
    <w:rsid w:val="00797D51"/>
    <w:rsid w:val="007A0F1A"/>
    <w:rsid w:val="007A4E23"/>
    <w:rsid w:val="007A732B"/>
    <w:rsid w:val="007B0EFA"/>
    <w:rsid w:val="007B7338"/>
    <w:rsid w:val="007C12E2"/>
    <w:rsid w:val="007C239B"/>
    <w:rsid w:val="007C7821"/>
    <w:rsid w:val="007D1166"/>
    <w:rsid w:val="007D67D1"/>
    <w:rsid w:val="007E2640"/>
    <w:rsid w:val="007E4D5F"/>
    <w:rsid w:val="007E6E67"/>
    <w:rsid w:val="007F053A"/>
    <w:rsid w:val="007F69B6"/>
    <w:rsid w:val="00805452"/>
    <w:rsid w:val="008100A5"/>
    <w:rsid w:val="0081027D"/>
    <w:rsid w:val="008149CC"/>
    <w:rsid w:val="008154CD"/>
    <w:rsid w:val="00821A92"/>
    <w:rsid w:val="00823988"/>
    <w:rsid w:val="00843E72"/>
    <w:rsid w:val="00847FF1"/>
    <w:rsid w:val="008514D9"/>
    <w:rsid w:val="00851831"/>
    <w:rsid w:val="008559F2"/>
    <w:rsid w:val="0085610A"/>
    <w:rsid w:val="008575E6"/>
    <w:rsid w:val="00860A52"/>
    <w:rsid w:val="00860C53"/>
    <w:rsid w:val="00861F45"/>
    <w:rsid w:val="00862159"/>
    <w:rsid w:val="00862C4A"/>
    <w:rsid w:val="00863974"/>
    <w:rsid w:val="00864627"/>
    <w:rsid w:val="00873C0B"/>
    <w:rsid w:val="00874862"/>
    <w:rsid w:val="00875B04"/>
    <w:rsid w:val="00880703"/>
    <w:rsid w:val="008877D8"/>
    <w:rsid w:val="00890F18"/>
    <w:rsid w:val="00891AE9"/>
    <w:rsid w:val="00895966"/>
    <w:rsid w:val="008B15E4"/>
    <w:rsid w:val="008B1D4A"/>
    <w:rsid w:val="008B5DFF"/>
    <w:rsid w:val="008C1960"/>
    <w:rsid w:val="008C64D4"/>
    <w:rsid w:val="008D1309"/>
    <w:rsid w:val="008D186A"/>
    <w:rsid w:val="008D214E"/>
    <w:rsid w:val="008E0ED7"/>
    <w:rsid w:val="008E6659"/>
    <w:rsid w:val="008F0A19"/>
    <w:rsid w:val="0090067B"/>
    <w:rsid w:val="0090333B"/>
    <w:rsid w:val="00911A75"/>
    <w:rsid w:val="009172D0"/>
    <w:rsid w:val="009177E9"/>
    <w:rsid w:val="009207A2"/>
    <w:rsid w:val="0092167C"/>
    <w:rsid w:val="00921ED7"/>
    <w:rsid w:val="00924CCC"/>
    <w:rsid w:val="00931623"/>
    <w:rsid w:val="00931B48"/>
    <w:rsid w:val="00937CCA"/>
    <w:rsid w:val="009569E6"/>
    <w:rsid w:val="00974433"/>
    <w:rsid w:val="0099056B"/>
    <w:rsid w:val="009A0AB5"/>
    <w:rsid w:val="009A1002"/>
    <w:rsid w:val="009A6BA4"/>
    <w:rsid w:val="009B2B60"/>
    <w:rsid w:val="009B34AF"/>
    <w:rsid w:val="009B38D0"/>
    <w:rsid w:val="009B6C23"/>
    <w:rsid w:val="009C066C"/>
    <w:rsid w:val="009C28E1"/>
    <w:rsid w:val="009C3F9B"/>
    <w:rsid w:val="009D5610"/>
    <w:rsid w:val="009E22FC"/>
    <w:rsid w:val="009E3010"/>
    <w:rsid w:val="009E5CB7"/>
    <w:rsid w:val="009E79E5"/>
    <w:rsid w:val="00A01F00"/>
    <w:rsid w:val="00A13167"/>
    <w:rsid w:val="00A13B9C"/>
    <w:rsid w:val="00A15D10"/>
    <w:rsid w:val="00A1770F"/>
    <w:rsid w:val="00A21C72"/>
    <w:rsid w:val="00A2206C"/>
    <w:rsid w:val="00A23AAA"/>
    <w:rsid w:val="00A3003C"/>
    <w:rsid w:val="00A35116"/>
    <w:rsid w:val="00A3604C"/>
    <w:rsid w:val="00A36C2B"/>
    <w:rsid w:val="00A40EBE"/>
    <w:rsid w:val="00A42F04"/>
    <w:rsid w:val="00A46C8B"/>
    <w:rsid w:val="00A5370F"/>
    <w:rsid w:val="00A53EA0"/>
    <w:rsid w:val="00A603AF"/>
    <w:rsid w:val="00A61E27"/>
    <w:rsid w:val="00A74692"/>
    <w:rsid w:val="00A9342F"/>
    <w:rsid w:val="00A948E6"/>
    <w:rsid w:val="00AA6CDC"/>
    <w:rsid w:val="00AA76C2"/>
    <w:rsid w:val="00AB0936"/>
    <w:rsid w:val="00AB1C05"/>
    <w:rsid w:val="00AB4F57"/>
    <w:rsid w:val="00AB7010"/>
    <w:rsid w:val="00AD69B7"/>
    <w:rsid w:val="00AD6F8C"/>
    <w:rsid w:val="00AE184D"/>
    <w:rsid w:val="00AF0A79"/>
    <w:rsid w:val="00B10998"/>
    <w:rsid w:val="00B14819"/>
    <w:rsid w:val="00B16278"/>
    <w:rsid w:val="00B21F6E"/>
    <w:rsid w:val="00B22396"/>
    <w:rsid w:val="00B43307"/>
    <w:rsid w:val="00B47993"/>
    <w:rsid w:val="00B52314"/>
    <w:rsid w:val="00B57859"/>
    <w:rsid w:val="00B70BC9"/>
    <w:rsid w:val="00B76288"/>
    <w:rsid w:val="00B7702C"/>
    <w:rsid w:val="00B77D04"/>
    <w:rsid w:val="00B82D5E"/>
    <w:rsid w:val="00B8585A"/>
    <w:rsid w:val="00B86BC3"/>
    <w:rsid w:val="00B87D2E"/>
    <w:rsid w:val="00BA50A2"/>
    <w:rsid w:val="00BA7DEF"/>
    <w:rsid w:val="00BB66CF"/>
    <w:rsid w:val="00BC04FB"/>
    <w:rsid w:val="00BC79A1"/>
    <w:rsid w:val="00BD266F"/>
    <w:rsid w:val="00BD7A06"/>
    <w:rsid w:val="00BE179F"/>
    <w:rsid w:val="00BE47E8"/>
    <w:rsid w:val="00BF257C"/>
    <w:rsid w:val="00BF51A4"/>
    <w:rsid w:val="00C021DC"/>
    <w:rsid w:val="00C12DB9"/>
    <w:rsid w:val="00C23E2C"/>
    <w:rsid w:val="00C23F24"/>
    <w:rsid w:val="00C305DA"/>
    <w:rsid w:val="00C36683"/>
    <w:rsid w:val="00C36887"/>
    <w:rsid w:val="00C41315"/>
    <w:rsid w:val="00C41ABD"/>
    <w:rsid w:val="00C43718"/>
    <w:rsid w:val="00C50285"/>
    <w:rsid w:val="00C52BC1"/>
    <w:rsid w:val="00C52C4B"/>
    <w:rsid w:val="00C57520"/>
    <w:rsid w:val="00C60D6E"/>
    <w:rsid w:val="00C635E9"/>
    <w:rsid w:val="00C72668"/>
    <w:rsid w:val="00C82BF4"/>
    <w:rsid w:val="00C856C1"/>
    <w:rsid w:val="00C90D4B"/>
    <w:rsid w:val="00CA2088"/>
    <w:rsid w:val="00CA4664"/>
    <w:rsid w:val="00CA50F3"/>
    <w:rsid w:val="00CC04C6"/>
    <w:rsid w:val="00CC080B"/>
    <w:rsid w:val="00CC231D"/>
    <w:rsid w:val="00CC2591"/>
    <w:rsid w:val="00CC349C"/>
    <w:rsid w:val="00CC47CB"/>
    <w:rsid w:val="00CC4C74"/>
    <w:rsid w:val="00CC73B1"/>
    <w:rsid w:val="00CD0E11"/>
    <w:rsid w:val="00CE70BB"/>
    <w:rsid w:val="00CF6C4A"/>
    <w:rsid w:val="00D01631"/>
    <w:rsid w:val="00D038D4"/>
    <w:rsid w:val="00D11C88"/>
    <w:rsid w:val="00D123F1"/>
    <w:rsid w:val="00D178D3"/>
    <w:rsid w:val="00D22D7F"/>
    <w:rsid w:val="00D3301F"/>
    <w:rsid w:val="00D4090E"/>
    <w:rsid w:val="00D418AD"/>
    <w:rsid w:val="00D41991"/>
    <w:rsid w:val="00D43CC4"/>
    <w:rsid w:val="00D442E4"/>
    <w:rsid w:val="00D45B4D"/>
    <w:rsid w:val="00D466D0"/>
    <w:rsid w:val="00D5076C"/>
    <w:rsid w:val="00D51CA2"/>
    <w:rsid w:val="00D52C24"/>
    <w:rsid w:val="00D56477"/>
    <w:rsid w:val="00D716E4"/>
    <w:rsid w:val="00D7516A"/>
    <w:rsid w:val="00D836AE"/>
    <w:rsid w:val="00D857D4"/>
    <w:rsid w:val="00D900AA"/>
    <w:rsid w:val="00D91A01"/>
    <w:rsid w:val="00D92B78"/>
    <w:rsid w:val="00DA11A7"/>
    <w:rsid w:val="00DA1670"/>
    <w:rsid w:val="00DA1C08"/>
    <w:rsid w:val="00DA5CB0"/>
    <w:rsid w:val="00DA5D72"/>
    <w:rsid w:val="00DB1CD3"/>
    <w:rsid w:val="00DB1E56"/>
    <w:rsid w:val="00DB59C1"/>
    <w:rsid w:val="00DC7DB6"/>
    <w:rsid w:val="00DC7F2C"/>
    <w:rsid w:val="00DD4C31"/>
    <w:rsid w:val="00DD4FE5"/>
    <w:rsid w:val="00DD52C0"/>
    <w:rsid w:val="00DD6E7D"/>
    <w:rsid w:val="00DE08C7"/>
    <w:rsid w:val="00DE6A15"/>
    <w:rsid w:val="00DF2604"/>
    <w:rsid w:val="00DF4626"/>
    <w:rsid w:val="00DF4A5F"/>
    <w:rsid w:val="00E03DD5"/>
    <w:rsid w:val="00E12674"/>
    <w:rsid w:val="00E13791"/>
    <w:rsid w:val="00E20795"/>
    <w:rsid w:val="00E22F62"/>
    <w:rsid w:val="00E23E31"/>
    <w:rsid w:val="00E24C58"/>
    <w:rsid w:val="00E24D12"/>
    <w:rsid w:val="00E42EFC"/>
    <w:rsid w:val="00E43E70"/>
    <w:rsid w:val="00E478CF"/>
    <w:rsid w:val="00E51F11"/>
    <w:rsid w:val="00E52962"/>
    <w:rsid w:val="00E71ADA"/>
    <w:rsid w:val="00E73B3D"/>
    <w:rsid w:val="00E81502"/>
    <w:rsid w:val="00E8273F"/>
    <w:rsid w:val="00E91537"/>
    <w:rsid w:val="00E91D4D"/>
    <w:rsid w:val="00E928EA"/>
    <w:rsid w:val="00E960D5"/>
    <w:rsid w:val="00E9663F"/>
    <w:rsid w:val="00E96729"/>
    <w:rsid w:val="00EA12F3"/>
    <w:rsid w:val="00EA37EF"/>
    <w:rsid w:val="00EA68F3"/>
    <w:rsid w:val="00EB473B"/>
    <w:rsid w:val="00EB699C"/>
    <w:rsid w:val="00EC1BA6"/>
    <w:rsid w:val="00EC41BD"/>
    <w:rsid w:val="00EC4D0B"/>
    <w:rsid w:val="00EC5536"/>
    <w:rsid w:val="00EC6F28"/>
    <w:rsid w:val="00EE10ED"/>
    <w:rsid w:val="00EE2FB5"/>
    <w:rsid w:val="00EE5253"/>
    <w:rsid w:val="00EE65D5"/>
    <w:rsid w:val="00EF1D79"/>
    <w:rsid w:val="00EF2363"/>
    <w:rsid w:val="00EF5C0B"/>
    <w:rsid w:val="00F052F0"/>
    <w:rsid w:val="00F12CF5"/>
    <w:rsid w:val="00F15FE2"/>
    <w:rsid w:val="00F165B5"/>
    <w:rsid w:val="00F26F98"/>
    <w:rsid w:val="00F2715D"/>
    <w:rsid w:val="00F31FD4"/>
    <w:rsid w:val="00F370F7"/>
    <w:rsid w:val="00F378CA"/>
    <w:rsid w:val="00F460F4"/>
    <w:rsid w:val="00F514A4"/>
    <w:rsid w:val="00F54C90"/>
    <w:rsid w:val="00F61524"/>
    <w:rsid w:val="00F626BA"/>
    <w:rsid w:val="00F643BA"/>
    <w:rsid w:val="00F64AA9"/>
    <w:rsid w:val="00F67F6C"/>
    <w:rsid w:val="00F77E06"/>
    <w:rsid w:val="00F82FA0"/>
    <w:rsid w:val="00F8546C"/>
    <w:rsid w:val="00F93786"/>
    <w:rsid w:val="00F93C07"/>
    <w:rsid w:val="00F9442F"/>
    <w:rsid w:val="00FA094F"/>
    <w:rsid w:val="00FA1161"/>
    <w:rsid w:val="00FB191D"/>
    <w:rsid w:val="00FC374F"/>
    <w:rsid w:val="00FC5491"/>
    <w:rsid w:val="00FC5BBC"/>
    <w:rsid w:val="00FC5EEF"/>
    <w:rsid w:val="00FC6C0C"/>
    <w:rsid w:val="00FD5350"/>
    <w:rsid w:val="00FD56AE"/>
    <w:rsid w:val="00FD6F09"/>
    <w:rsid w:val="00FF173D"/>
    <w:rsid w:val="00FF2A3B"/>
    <w:rsid w:val="16DCEC71"/>
    <w:rsid w:val="1AA89953"/>
    <w:rsid w:val="68AB083D"/>
    <w:rsid w:val="6E485D6A"/>
    <w:rsid w:val="74CFE7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877063"/>
  <w15:chartTrackingRefBased/>
  <w15:docId w15:val="{3ABA574C-80AF-49CB-B233-9FFD8A52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D5"/>
    <w:pPr>
      <w:spacing w:after="0" w:line="240" w:lineRule="auto"/>
    </w:pPr>
    <w:rPr>
      <w:rFonts w:ascii="Arial" w:hAnsi="Arial" w:cs="Arial"/>
    </w:rPr>
  </w:style>
  <w:style w:type="paragraph" w:styleId="Heading1">
    <w:name w:val="heading 1"/>
    <w:basedOn w:val="Normal"/>
    <w:next w:val="Normal"/>
    <w:link w:val="Heading1Char"/>
    <w:uiPriority w:val="9"/>
    <w:qFormat/>
    <w:rsid w:val="00467B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B0936"/>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D5"/>
    <w:rPr>
      <w:color w:val="0563C1"/>
      <w:u w:val="single"/>
    </w:rPr>
  </w:style>
  <w:style w:type="character" w:styleId="CommentReference">
    <w:name w:val="annotation reference"/>
    <w:basedOn w:val="DefaultParagraphFont"/>
    <w:uiPriority w:val="99"/>
    <w:semiHidden/>
    <w:unhideWhenUsed/>
    <w:rsid w:val="001117D2"/>
    <w:rPr>
      <w:sz w:val="16"/>
      <w:szCs w:val="16"/>
    </w:rPr>
  </w:style>
  <w:style w:type="paragraph" w:styleId="CommentText">
    <w:name w:val="annotation text"/>
    <w:basedOn w:val="Normal"/>
    <w:link w:val="CommentTextChar"/>
    <w:uiPriority w:val="99"/>
    <w:unhideWhenUsed/>
    <w:rsid w:val="001117D2"/>
    <w:rPr>
      <w:sz w:val="20"/>
      <w:szCs w:val="20"/>
    </w:rPr>
  </w:style>
  <w:style w:type="character" w:customStyle="1" w:styleId="CommentTextChar">
    <w:name w:val="Comment Text Char"/>
    <w:basedOn w:val="DefaultParagraphFont"/>
    <w:link w:val="CommentText"/>
    <w:uiPriority w:val="99"/>
    <w:rsid w:val="001117D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D2"/>
    <w:rPr>
      <w:b/>
      <w:bCs/>
    </w:rPr>
  </w:style>
  <w:style w:type="character" w:customStyle="1" w:styleId="CommentSubjectChar">
    <w:name w:val="Comment Subject Char"/>
    <w:basedOn w:val="CommentTextChar"/>
    <w:link w:val="CommentSubject"/>
    <w:uiPriority w:val="99"/>
    <w:semiHidden/>
    <w:rsid w:val="001117D2"/>
    <w:rPr>
      <w:rFonts w:ascii="Arial" w:hAnsi="Arial" w:cs="Arial"/>
      <w:b/>
      <w:bCs/>
      <w:sz w:val="20"/>
      <w:szCs w:val="20"/>
    </w:rPr>
  </w:style>
  <w:style w:type="paragraph" w:styleId="BalloonText">
    <w:name w:val="Balloon Text"/>
    <w:basedOn w:val="Normal"/>
    <w:link w:val="BalloonTextChar"/>
    <w:uiPriority w:val="99"/>
    <w:semiHidden/>
    <w:unhideWhenUsed/>
    <w:rsid w:val="00111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2"/>
    <w:rPr>
      <w:rFonts w:ascii="Segoe UI" w:hAnsi="Segoe UI" w:cs="Segoe UI"/>
      <w:sz w:val="18"/>
      <w:szCs w:val="18"/>
    </w:rPr>
  </w:style>
  <w:style w:type="character" w:styleId="FollowedHyperlink">
    <w:name w:val="FollowedHyperlink"/>
    <w:basedOn w:val="DefaultParagraphFont"/>
    <w:uiPriority w:val="99"/>
    <w:semiHidden/>
    <w:unhideWhenUsed/>
    <w:rsid w:val="00B77D04"/>
    <w:rPr>
      <w:color w:val="954F72" w:themeColor="followedHyperlink"/>
      <w:u w:val="single"/>
    </w:rPr>
  </w:style>
  <w:style w:type="paragraph" w:styleId="NormalWeb">
    <w:name w:val="Normal (Web)"/>
    <w:basedOn w:val="Normal"/>
    <w:uiPriority w:val="99"/>
    <w:unhideWhenUsed/>
    <w:rsid w:val="005B4AB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563AF8"/>
    <w:pPr>
      <w:tabs>
        <w:tab w:val="center" w:pos="4513"/>
        <w:tab w:val="right" w:pos="9026"/>
      </w:tabs>
    </w:pPr>
  </w:style>
  <w:style w:type="character" w:customStyle="1" w:styleId="HeaderChar">
    <w:name w:val="Header Char"/>
    <w:basedOn w:val="DefaultParagraphFont"/>
    <w:link w:val="Header"/>
    <w:uiPriority w:val="99"/>
    <w:rsid w:val="00563AF8"/>
    <w:rPr>
      <w:rFonts w:ascii="Arial" w:hAnsi="Arial" w:cs="Arial"/>
    </w:rPr>
  </w:style>
  <w:style w:type="paragraph" w:styleId="Footer">
    <w:name w:val="footer"/>
    <w:basedOn w:val="Normal"/>
    <w:link w:val="FooterChar"/>
    <w:uiPriority w:val="99"/>
    <w:unhideWhenUsed/>
    <w:rsid w:val="00563AF8"/>
    <w:pPr>
      <w:tabs>
        <w:tab w:val="center" w:pos="4513"/>
        <w:tab w:val="right" w:pos="9026"/>
      </w:tabs>
    </w:pPr>
  </w:style>
  <w:style w:type="character" w:customStyle="1" w:styleId="FooterChar">
    <w:name w:val="Footer Char"/>
    <w:basedOn w:val="DefaultParagraphFont"/>
    <w:link w:val="Footer"/>
    <w:uiPriority w:val="99"/>
    <w:rsid w:val="00563AF8"/>
    <w:rPr>
      <w:rFonts w:ascii="Arial" w:hAnsi="Arial" w:cs="Arial"/>
    </w:rPr>
  </w:style>
  <w:style w:type="paragraph" w:customStyle="1" w:styleId="LGAItemNoHeading">
    <w:name w:val="LGA Item No Heading"/>
    <w:basedOn w:val="Normal"/>
    <w:rsid w:val="00563AF8"/>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563AF8"/>
    <w:pPr>
      <w:ind w:left="720"/>
      <w:contextualSpacing/>
    </w:pPr>
  </w:style>
  <w:style w:type="character" w:customStyle="1" w:styleId="Heading2Char">
    <w:name w:val="Heading 2 Char"/>
    <w:basedOn w:val="DefaultParagraphFont"/>
    <w:link w:val="Heading2"/>
    <w:uiPriority w:val="9"/>
    <w:semiHidden/>
    <w:rsid w:val="00AB0936"/>
    <w:rPr>
      <w:rFonts w:ascii="Times New Roman" w:hAnsi="Times New Roman" w:cs="Times New Roman"/>
      <w:b/>
      <w:bCs/>
      <w:sz w:val="36"/>
      <w:szCs w:val="36"/>
      <w:lang w:eastAsia="en-GB"/>
    </w:rPr>
  </w:style>
  <w:style w:type="character" w:styleId="Strong">
    <w:name w:val="Strong"/>
    <w:basedOn w:val="DefaultParagraphFont"/>
    <w:uiPriority w:val="22"/>
    <w:qFormat/>
    <w:rsid w:val="00AB0936"/>
    <w:rPr>
      <w:b/>
      <w:bCs/>
    </w:rPr>
  </w:style>
  <w:style w:type="paragraph" w:customStyle="1" w:styleId="paragraph">
    <w:name w:val="paragraph"/>
    <w:basedOn w:val="Normal"/>
    <w:rsid w:val="00694E2E"/>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94E2E"/>
  </w:style>
  <w:style w:type="character" w:customStyle="1" w:styleId="normaltextrun1">
    <w:name w:val="normaltextrun1"/>
    <w:basedOn w:val="DefaultParagraphFont"/>
    <w:rsid w:val="00694E2E"/>
  </w:style>
  <w:style w:type="character" w:customStyle="1" w:styleId="eop">
    <w:name w:val="eop"/>
    <w:basedOn w:val="DefaultParagraphFont"/>
    <w:rsid w:val="00694E2E"/>
  </w:style>
  <w:style w:type="character" w:customStyle="1" w:styleId="Heading1Char">
    <w:name w:val="Heading 1 Char"/>
    <w:basedOn w:val="DefaultParagraphFont"/>
    <w:link w:val="Heading1"/>
    <w:uiPriority w:val="9"/>
    <w:rsid w:val="00467BAC"/>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467BAC"/>
  </w:style>
  <w:style w:type="paragraph" w:customStyle="1" w:styleId="MainText">
    <w:name w:val="Main Text"/>
    <w:basedOn w:val="Normal"/>
    <w:rsid w:val="00467BAC"/>
    <w:pPr>
      <w:spacing w:line="280" w:lineRule="exact"/>
    </w:pPr>
    <w:rPr>
      <w:rFonts w:ascii="Frutiger 45 Light" w:eastAsia="Times New Roman" w:hAnsi="Frutiger 45 Light" w:cs="Times New Roman"/>
      <w:szCs w:val="20"/>
      <w:lang w:eastAsia="en-GB"/>
    </w:rPr>
  </w:style>
  <w:style w:type="table" w:styleId="TableGrid">
    <w:name w:val="Table Grid"/>
    <w:basedOn w:val="TableNormal"/>
    <w:uiPriority w:val="39"/>
    <w:rsid w:val="00467B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3433DD"/>
  </w:style>
  <w:style w:type="paragraph" w:styleId="PlainText">
    <w:name w:val="Plain Text"/>
    <w:basedOn w:val="Normal"/>
    <w:link w:val="PlainTextChar"/>
    <w:uiPriority w:val="99"/>
    <w:unhideWhenUsed/>
    <w:rsid w:val="009B38D0"/>
    <w:rPr>
      <w:rFonts w:eastAsia="Times New Roman" w:cs="Consolas"/>
      <w:szCs w:val="21"/>
    </w:rPr>
  </w:style>
  <w:style w:type="character" w:customStyle="1" w:styleId="PlainTextChar">
    <w:name w:val="Plain Text Char"/>
    <w:basedOn w:val="DefaultParagraphFont"/>
    <w:link w:val="PlainText"/>
    <w:uiPriority w:val="99"/>
    <w:rsid w:val="009B38D0"/>
    <w:rPr>
      <w:rFonts w:ascii="Arial" w:eastAsia="Times New Roman" w:hAnsi="Arial" w:cs="Consolas"/>
      <w:szCs w:val="21"/>
    </w:rPr>
  </w:style>
  <w:style w:type="character" w:customStyle="1" w:styleId="s5">
    <w:name w:val="s5"/>
    <w:basedOn w:val="DefaultParagraphFont"/>
    <w:rsid w:val="000E6699"/>
  </w:style>
  <w:style w:type="paragraph" w:customStyle="1" w:styleId="s3">
    <w:name w:val="s3"/>
    <w:basedOn w:val="Normal"/>
    <w:rsid w:val="000E6699"/>
    <w:pPr>
      <w:spacing w:before="100" w:beforeAutospacing="1" w:after="100" w:afterAutospacing="1"/>
    </w:pPr>
    <w:rPr>
      <w:rFonts w:ascii="Times New Roman" w:hAnsi="Times New Roman" w:cs="Times New Roman"/>
      <w:sz w:val="24"/>
      <w:szCs w:val="24"/>
      <w:lang w:eastAsia="en-GB"/>
    </w:rPr>
  </w:style>
  <w:style w:type="character" w:customStyle="1" w:styleId="s6">
    <w:name w:val="s6"/>
    <w:basedOn w:val="DefaultParagraphFont"/>
    <w:rsid w:val="000E6699"/>
  </w:style>
  <w:style w:type="character" w:customStyle="1" w:styleId="ReportTemplate">
    <w:name w:val="Report Template"/>
    <w:uiPriority w:val="1"/>
    <w:qFormat/>
    <w:rsid w:val="00AB1C0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AB1C05"/>
    <w:rPr>
      <w:rFonts w:ascii="Arial" w:hAnsi="Arial" w:cs="Arial"/>
    </w:rPr>
  </w:style>
  <w:style w:type="character" w:customStyle="1" w:styleId="advancedproofingissue">
    <w:name w:val="advancedproofingissue"/>
    <w:basedOn w:val="DefaultParagraphFont"/>
    <w:rsid w:val="0078262C"/>
  </w:style>
  <w:style w:type="character" w:styleId="UnresolvedMention">
    <w:name w:val="Unresolved Mention"/>
    <w:basedOn w:val="DefaultParagraphFont"/>
    <w:uiPriority w:val="99"/>
    <w:unhideWhenUsed/>
    <w:rsid w:val="00610D37"/>
    <w:rPr>
      <w:color w:val="605E5C"/>
      <w:shd w:val="clear" w:color="auto" w:fill="E1DFDD"/>
    </w:rPr>
  </w:style>
  <w:style w:type="character" w:styleId="Mention">
    <w:name w:val="Mention"/>
    <w:basedOn w:val="DefaultParagraphFont"/>
    <w:uiPriority w:val="99"/>
    <w:unhideWhenUsed/>
    <w:rsid w:val="0046327B"/>
    <w:rPr>
      <w:color w:val="2B579A"/>
      <w:shd w:val="clear" w:color="auto" w:fill="E1DFDD"/>
    </w:rPr>
  </w:style>
  <w:style w:type="paragraph" w:styleId="Revision">
    <w:name w:val="Revision"/>
    <w:hidden/>
    <w:uiPriority w:val="99"/>
    <w:semiHidden/>
    <w:rsid w:val="001B0AE8"/>
    <w:pPr>
      <w:spacing w:after="0" w:line="240" w:lineRule="auto"/>
    </w:pPr>
    <w:rPr>
      <w:rFonts w:ascii="Arial" w:hAnsi="Arial" w:cs="Arial"/>
    </w:rPr>
  </w:style>
  <w:style w:type="character" w:customStyle="1" w:styleId="normaltextrun">
    <w:name w:val="normaltextrun"/>
    <w:basedOn w:val="DefaultParagraphFont"/>
    <w:rsid w:val="002E0C16"/>
  </w:style>
  <w:style w:type="paragraph" w:customStyle="1" w:styleId="Title1">
    <w:name w:val="Title 1"/>
    <w:basedOn w:val="Normal"/>
    <w:link w:val="Title1Char"/>
    <w:qFormat/>
    <w:rsid w:val="002E0C16"/>
    <w:pPr>
      <w:spacing w:after="160" w:line="276" w:lineRule="auto"/>
      <w:ind w:left="357" w:hanging="357"/>
    </w:pPr>
    <w:rPr>
      <w:rFonts w:cstheme="minorBidi"/>
      <w:b/>
      <w:sz w:val="28"/>
    </w:rPr>
  </w:style>
  <w:style w:type="character" w:customStyle="1" w:styleId="Title1Char">
    <w:name w:val="Title 1 Char"/>
    <w:basedOn w:val="DefaultParagraphFont"/>
    <w:link w:val="Title1"/>
    <w:rsid w:val="002E0C16"/>
    <w:rPr>
      <w:rFonts w:ascii="Arial" w:hAnsi="Arial"/>
      <w:b/>
      <w:sz w:val="28"/>
    </w:rPr>
  </w:style>
  <w:style w:type="paragraph" w:styleId="NoSpacing">
    <w:name w:val="No Spacing"/>
    <w:uiPriority w:val="1"/>
    <w:qFormat/>
    <w:rsid w:val="00D409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72">
      <w:bodyDiv w:val="1"/>
      <w:marLeft w:val="0"/>
      <w:marRight w:val="0"/>
      <w:marTop w:val="0"/>
      <w:marBottom w:val="0"/>
      <w:divBdr>
        <w:top w:val="none" w:sz="0" w:space="0" w:color="auto"/>
        <w:left w:val="none" w:sz="0" w:space="0" w:color="auto"/>
        <w:bottom w:val="none" w:sz="0" w:space="0" w:color="auto"/>
        <w:right w:val="none" w:sz="0" w:space="0" w:color="auto"/>
      </w:divBdr>
    </w:div>
    <w:div w:id="226654086">
      <w:bodyDiv w:val="1"/>
      <w:marLeft w:val="0"/>
      <w:marRight w:val="0"/>
      <w:marTop w:val="0"/>
      <w:marBottom w:val="0"/>
      <w:divBdr>
        <w:top w:val="none" w:sz="0" w:space="0" w:color="auto"/>
        <w:left w:val="none" w:sz="0" w:space="0" w:color="auto"/>
        <w:bottom w:val="none" w:sz="0" w:space="0" w:color="auto"/>
        <w:right w:val="none" w:sz="0" w:space="0" w:color="auto"/>
      </w:divBdr>
    </w:div>
    <w:div w:id="244462644">
      <w:bodyDiv w:val="1"/>
      <w:marLeft w:val="0"/>
      <w:marRight w:val="0"/>
      <w:marTop w:val="0"/>
      <w:marBottom w:val="0"/>
      <w:divBdr>
        <w:top w:val="none" w:sz="0" w:space="0" w:color="auto"/>
        <w:left w:val="none" w:sz="0" w:space="0" w:color="auto"/>
        <w:bottom w:val="none" w:sz="0" w:space="0" w:color="auto"/>
        <w:right w:val="none" w:sz="0" w:space="0" w:color="auto"/>
      </w:divBdr>
    </w:div>
    <w:div w:id="250285033">
      <w:bodyDiv w:val="1"/>
      <w:marLeft w:val="0"/>
      <w:marRight w:val="0"/>
      <w:marTop w:val="0"/>
      <w:marBottom w:val="0"/>
      <w:divBdr>
        <w:top w:val="none" w:sz="0" w:space="0" w:color="auto"/>
        <w:left w:val="none" w:sz="0" w:space="0" w:color="auto"/>
        <w:bottom w:val="none" w:sz="0" w:space="0" w:color="auto"/>
        <w:right w:val="none" w:sz="0" w:space="0" w:color="auto"/>
      </w:divBdr>
    </w:div>
    <w:div w:id="268506987">
      <w:bodyDiv w:val="1"/>
      <w:marLeft w:val="0"/>
      <w:marRight w:val="0"/>
      <w:marTop w:val="0"/>
      <w:marBottom w:val="0"/>
      <w:divBdr>
        <w:top w:val="none" w:sz="0" w:space="0" w:color="auto"/>
        <w:left w:val="none" w:sz="0" w:space="0" w:color="auto"/>
        <w:bottom w:val="none" w:sz="0" w:space="0" w:color="auto"/>
        <w:right w:val="none" w:sz="0" w:space="0" w:color="auto"/>
      </w:divBdr>
    </w:div>
    <w:div w:id="294528726">
      <w:bodyDiv w:val="1"/>
      <w:marLeft w:val="0"/>
      <w:marRight w:val="0"/>
      <w:marTop w:val="0"/>
      <w:marBottom w:val="0"/>
      <w:divBdr>
        <w:top w:val="none" w:sz="0" w:space="0" w:color="auto"/>
        <w:left w:val="none" w:sz="0" w:space="0" w:color="auto"/>
        <w:bottom w:val="none" w:sz="0" w:space="0" w:color="auto"/>
        <w:right w:val="none" w:sz="0" w:space="0" w:color="auto"/>
      </w:divBdr>
    </w:div>
    <w:div w:id="300155343">
      <w:bodyDiv w:val="1"/>
      <w:marLeft w:val="0"/>
      <w:marRight w:val="0"/>
      <w:marTop w:val="0"/>
      <w:marBottom w:val="0"/>
      <w:divBdr>
        <w:top w:val="none" w:sz="0" w:space="0" w:color="auto"/>
        <w:left w:val="none" w:sz="0" w:space="0" w:color="auto"/>
        <w:bottom w:val="none" w:sz="0" w:space="0" w:color="auto"/>
        <w:right w:val="none" w:sz="0" w:space="0" w:color="auto"/>
      </w:divBdr>
    </w:div>
    <w:div w:id="313413049">
      <w:bodyDiv w:val="1"/>
      <w:marLeft w:val="0"/>
      <w:marRight w:val="0"/>
      <w:marTop w:val="0"/>
      <w:marBottom w:val="0"/>
      <w:divBdr>
        <w:top w:val="none" w:sz="0" w:space="0" w:color="auto"/>
        <w:left w:val="none" w:sz="0" w:space="0" w:color="auto"/>
        <w:bottom w:val="none" w:sz="0" w:space="0" w:color="auto"/>
        <w:right w:val="none" w:sz="0" w:space="0" w:color="auto"/>
      </w:divBdr>
    </w:div>
    <w:div w:id="592053355">
      <w:bodyDiv w:val="1"/>
      <w:marLeft w:val="0"/>
      <w:marRight w:val="0"/>
      <w:marTop w:val="0"/>
      <w:marBottom w:val="0"/>
      <w:divBdr>
        <w:top w:val="none" w:sz="0" w:space="0" w:color="auto"/>
        <w:left w:val="none" w:sz="0" w:space="0" w:color="auto"/>
        <w:bottom w:val="none" w:sz="0" w:space="0" w:color="auto"/>
        <w:right w:val="none" w:sz="0" w:space="0" w:color="auto"/>
      </w:divBdr>
    </w:div>
    <w:div w:id="681130892">
      <w:bodyDiv w:val="1"/>
      <w:marLeft w:val="0"/>
      <w:marRight w:val="0"/>
      <w:marTop w:val="0"/>
      <w:marBottom w:val="0"/>
      <w:divBdr>
        <w:top w:val="none" w:sz="0" w:space="0" w:color="auto"/>
        <w:left w:val="none" w:sz="0" w:space="0" w:color="auto"/>
        <w:bottom w:val="none" w:sz="0" w:space="0" w:color="auto"/>
        <w:right w:val="none" w:sz="0" w:space="0" w:color="auto"/>
      </w:divBdr>
    </w:div>
    <w:div w:id="697850181">
      <w:bodyDiv w:val="1"/>
      <w:marLeft w:val="0"/>
      <w:marRight w:val="0"/>
      <w:marTop w:val="0"/>
      <w:marBottom w:val="0"/>
      <w:divBdr>
        <w:top w:val="none" w:sz="0" w:space="0" w:color="auto"/>
        <w:left w:val="none" w:sz="0" w:space="0" w:color="auto"/>
        <w:bottom w:val="none" w:sz="0" w:space="0" w:color="auto"/>
        <w:right w:val="none" w:sz="0" w:space="0" w:color="auto"/>
      </w:divBdr>
    </w:div>
    <w:div w:id="721756759">
      <w:bodyDiv w:val="1"/>
      <w:marLeft w:val="0"/>
      <w:marRight w:val="0"/>
      <w:marTop w:val="0"/>
      <w:marBottom w:val="0"/>
      <w:divBdr>
        <w:top w:val="none" w:sz="0" w:space="0" w:color="auto"/>
        <w:left w:val="none" w:sz="0" w:space="0" w:color="auto"/>
        <w:bottom w:val="none" w:sz="0" w:space="0" w:color="auto"/>
        <w:right w:val="none" w:sz="0" w:space="0" w:color="auto"/>
      </w:divBdr>
    </w:div>
    <w:div w:id="722287920">
      <w:bodyDiv w:val="1"/>
      <w:marLeft w:val="0"/>
      <w:marRight w:val="0"/>
      <w:marTop w:val="0"/>
      <w:marBottom w:val="0"/>
      <w:divBdr>
        <w:top w:val="none" w:sz="0" w:space="0" w:color="auto"/>
        <w:left w:val="none" w:sz="0" w:space="0" w:color="auto"/>
        <w:bottom w:val="none" w:sz="0" w:space="0" w:color="auto"/>
        <w:right w:val="none" w:sz="0" w:space="0" w:color="auto"/>
      </w:divBdr>
      <w:divsChild>
        <w:div w:id="622074088">
          <w:marLeft w:val="0"/>
          <w:marRight w:val="0"/>
          <w:marTop w:val="0"/>
          <w:marBottom w:val="0"/>
          <w:divBdr>
            <w:top w:val="none" w:sz="0" w:space="0" w:color="auto"/>
            <w:left w:val="none" w:sz="0" w:space="0" w:color="auto"/>
            <w:bottom w:val="none" w:sz="0" w:space="0" w:color="auto"/>
            <w:right w:val="none" w:sz="0" w:space="0" w:color="auto"/>
          </w:divBdr>
          <w:divsChild>
            <w:div w:id="964892691">
              <w:marLeft w:val="0"/>
              <w:marRight w:val="0"/>
              <w:marTop w:val="0"/>
              <w:marBottom w:val="0"/>
              <w:divBdr>
                <w:top w:val="none" w:sz="0" w:space="0" w:color="auto"/>
                <w:left w:val="none" w:sz="0" w:space="0" w:color="auto"/>
                <w:bottom w:val="none" w:sz="0" w:space="0" w:color="auto"/>
                <w:right w:val="none" w:sz="0" w:space="0" w:color="auto"/>
              </w:divBdr>
              <w:divsChild>
                <w:div w:id="1985967454">
                  <w:marLeft w:val="-225"/>
                  <w:marRight w:val="-225"/>
                  <w:marTop w:val="0"/>
                  <w:marBottom w:val="0"/>
                  <w:divBdr>
                    <w:top w:val="none" w:sz="0" w:space="0" w:color="auto"/>
                    <w:left w:val="none" w:sz="0" w:space="0" w:color="auto"/>
                    <w:bottom w:val="none" w:sz="0" w:space="0" w:color="auto"/>
                    <w:right w:val="none" w:sz="0" w:space="0" w:color="auto"/>
                  </w:divBdr>
                  <w:divsChild>
                    <w:div w:id="504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3638">
      <w:bodyDiv w:val="1"/>
      <w:marLeft w:val="0"/>
      <w:marRight w:val="0"/>
      <w:marTop w:val="0"/>
      <w:marBottom w:val="0"/>
      <w:divBdr>
        <w:top w:val="none" w:sz="0" w:space="0" w:color="auto"/>
        <w:left w:val="none" w:sz="0" w:space="0" w:color="auto"/>
        <w:bottom w:val="none" w:sz="0" w:space="0" w:color="auto"/>
        <w:right w:val="none" w:sz="0" w:space="0" w:color="auto"/>
      </w:divBdr>
    </w:div>
    <w:div w:id="811170990">
      <w:bodyDiv w:val="1"/>
      <w:marLeft w:val="0"/>
      <w:marRight w:val="0"/>
      <w:marTop w:val="0"/>
      <w:marBottom w:val="0"/>
      <w:divBdr>
        <w:top w:val="none" w:sz="0" w:space="0" w:color="auto"/>
        <w:left w:val="none" w:sz="0" w:space="0" w:color="auto"/>
        <w:bottom w:val="none" w:sz="0" w:space="0" w:color="auto"/>
        <w:right w:val="none" w:sz="0" w:space="0" w:color="auto"/>
      </w:divBdr>
    </w:div>
    <w:div w:id="854808946">
      <w:bodyDiv w:val="1"/>
      <w:marLeft w:val="0"/>
      <w:marRight w:val="0"/>
      <w:marTop w:val="0"/>
      <w:marBottom w:val="0"/>
      <w:divBdr>
        <w:top w:val="none" w:sz="0" w:space="0" w:color="auto"/>
        <w:left w:val="none" w:sz="0" w:space="0" w:color="auto"/>
        <w:bottom w:val="none" w:sz="0" w:space="0" w:color="auto"/>
        <w:right w:val="none" w:sz="0" w:space="0" w:color="auto"/>
      </w:divBdr>
    </w:div>
    <w:div w:id="887883856">
      <w:bodyDiv w:val="1"/>
      <w:marLeft w:val="0"/>
      <w:marRight w:val="0"/>
      <w:marTop w:val="0"/>
      <w:marBottom w:val="0"/>
      <w:divBdr>
        <w:top w:val="none" w:sz="0" w:space="0" w:color="auto"/>
        <w:left w:val="none" w:sz="0" w:space="0" w:color="auto"/>
        <w:bottom w:val="none" w:sz="0" w:space="0" w:color="auto"/>
        <w:right w:val="none" w:sz="0" w:space="0" w:color="auto"/>
      </w:divBdr>
    </w:div>
    <w:div w:id="917397600">
      <w:bodyDiv w:val="1"/>
      <w:marLeft w:val="0"/>
      <w:marRight w:val="0"/>
      <w:marTop w:val="0"/>
      <w:marBottom w:val="0"/>
      <w:divBdr>
        <w:top w:val="none" w:sz="0" w:space="0" w:color="auto"/>
        <w:left w:val="none" w:sz="0" w:space="0" w:color="auto"/>
        <w:bottom w:val="none" w:sz="0" w:space="0" w:color="auto"/>
        <w:right w:val="none" w:sz="0" w:space="0" w:color="auto"/>
      </w:divBdr>
      <w:divsChild>
        <w:div w:id="1739136264">
          <w:marLeft w:val="0"/>
          <w:marRight w:val="0"/>
          <w:marTop w:val="0"/>
          <w:marBottom w:val="0"/>
          <w:divBdr>
            <w:top w:val="none" w:sz="0" w:space="0" w:color="auto"/>
            <w:left w:val="none" w:sz="0" w:space="0" w:color="auto"/>
            <w:bottom w:val="none" w:sz="0" w:space="0" w:color="auto"/>
            <w:right w:val="none" w:sz="0" w:space="0" w:color="auto"/>
          </w:divBdr>
          <w:divsChild>
            <w:div w:id="892935006">
              <w:marLeft w:val="0"/>
              <w:marRight w:val="0"/>
              <w:marTop w:val="0"/>
              <w:marBottom w:val="0"/>
              <w:divBdr>
                <w:top w:val="none" w:sz="0" w:space="0" w:color="auto"/>
                <w:left w:val="none" w:sz="0" w:space="0" w:color="auto"/>
                <w:bottom w:val="none" w:sz="0" w:space="0" w:color="auto"/>
                <w:right w:val="none" w:sz="0" w:space="0" w:color="auto"/>
              </w:divBdr>
              <w:divsChild>
                <w:div w:id="1054163644">
                  <w:marLeft w:val="-225"/>
                  <w:marRight w:val="-225"/>
                  <w:marTop w:val="0"/>
                  <w:marBottom w:val="0"/>
                  <w:divBdr>
                    <w:top w:val="none" w:sz="0" w:space="0" w:color="auto"/>
                    <w:left w:val="none" w:sz="0" w:space="0" w:color="auto"/>
                    <w:bottom w:val="none" w:sz="0" w:space="0" w:color="auto"/>
                    <w:right w:val="none" w:sz="0" w:space="0" w:color="auto"/>
                  </w:divBdr>
                  <w:divsChild>
                    <w:div w:id="12828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9973">
      <w:bodyDiv w:val="1"/>
      <w:marLeft w:val="0"/>
      <w:marRight w:val="0"/>
      <w:marTop w:val="0"/>
      <w:marBottom w:val="0"/>
      <w:divBdr>
        <w:top w:val="none" w:sz="0" w:space="0" w:color="auto"/>
        <w:left w:val="none" w:sz="0" w:space="0" w:color="auto"/>
        <w:bottom w:val="none" w:sz="0" w:space="0" w:color="auto"/>
        <w:right w:val="none" w:sz="0" w:space="0" w:color="auto"/>
      </w:divBdr>
    </w:div>
    <w:div w:id="964190162">
      <w:bodyDiv w:val="1"/>
      <w:marLeft w:val="0"/>
      <w:marRight w:val="0"/>
      <w:marTop w:val="0"/>
      <w:marBottom w:val="0"/>
      <w:divBdr>
        <w:top w:val="none" w:sz="0" w:space="0" w:color="auto"/>
        <w:left w:val="none" w:sz="0" w:space="0" w:color="auto"/>
        <w:bottom w:val="none" w:sz="0" w:space="0" w:color="auto"/>
        <w:right w:val="none" w:sz="0" w:space="0" w:color="auto"/>
      </w:divBdr>
      <w:divsChild>
        <w:div w:id="328485890">
          <w:marLeft w:val="0"/>
          <w:marRight w:val="0"/>
          <w:marTop w:val="0"/>
          <w:marBottom w:val="0"/>
          <w:divBdr>
            <w:top w:val="none" w:sz="0" w:space="0" w:color="auto"/>
            <w:left w:val="none" w:sz="0" w:space="0" w:color="auto"/>
            <w:bottom w:val="none" w:sz="0" w:space="0" w:color="auto"/>
            <w:right w:val="none" w:sz="0" w:space="0" w:color="auto"/>
          </w:divBdr>
          <w:divsChild>
            <w:div w:id="624392628">
              <w:marLeft w:val="0"/>
              <w:marRight w:val="0"/>
              <w:marTop w:val="0"/>
              <w:marBottom w:val="0"/>
              <w:divBdr>
                <w:top w:val="none" w:sz="0" w:space="0" w:color="auto"/>
                <w:left w:val="none" w:sz="0" w:space="0" w:color="auto"/>
                <w:bottom w:val="none" w:sz="0" w:space="0" w:color="auto"/>
                <w:right w:val="none" w:sz="0" w:space="0" w:color="auto"/>
              </w:divBdr>
              <w:divsChild>
                <w:div w:id="1905481481">
                  <w:marLeft w:val="-225"/>
                  <w:marRight w:val="-225"/>
                  <w:marTop w:val="0"/>
                  <w:marBottom w:val="0"/>
                  <w:divBdr>
                    <w:top w:val="none" w:sz="0" w:space="0" w:color="auto"/>
                    <w:left w:val="none" w:sz="0" w:space="0" w:color="auto"/>
                    <w:bottom w:val="none" w:sz="0" w:space="0" w:color="auto"/>
                    <w:right w:val="none" w:sz="0" w:space="0" w:color="auto"/>
                  </w:divBdr>
                  <w:divsChild>
                    <w:div w:id="4832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35091">
      <w:bodyDiv w:val="1"/>
      <w:marLeft w:val="0"/>
      <w:marRight w:val="0"/>
      <w:marTop w:val="0"/>
      <w:marBottom w:val="0"/>
      <w:divBdr>
        <w:top w:val="none" w:sz="0" w:space="0" w:color="auto"/>
        <w:left w:val="none" w:sz="0" w:space="0" w:color="auto"/>
        <w:bottom w:val="none" w:sz="0" w:space="0" w:color="auto"/>
        <w:right w:val="none" w:sz="0" w:space="0" w:color="auto"/>
      </w:divBdr>
    </w:div>
    <w:div w:id="1167596365">
      <w:bodyDiv w:val="1"/>
      <w:marLeft w:val="0"/>
      <w:marRight w:val="0"/>
      <w:marTop w:val="0"/>
      <w:marBottom w:val="0"/>
      <w:divBdr>
        <w:top w:val="none" w:sz="0" w:space="0" w:color="auto"/>
        <w:left w:val="none" w:sz="0" w:space="0" w:color="auto"/>
        <w:bottom w:val="none" w:sz="0" w:space="0" w:color="auto"/>
        <w:right w:val="none" w:sz="0" w:space="0" w:color="auto"/>
      </w:divBdr>
    </w:div>
    <w:div w:id="1251550052">
      <w:bodyDiv w:val="1"/>
      <w:marLeft w:val="0"/>
      <w:marRight w:val="0"/>
      <w:marTop w:val="0"/>
      <w:marBottom w:val="0"/>
      <w:divBdr>
        <w:top w:val="none" w:sz="0" w:space="0" w:color="auto"/>
        <w:left w:val="none" w:sz="0" w:space="0" w:color="auto"/>
        <w:bottom w:val="none" w:sz="0" w:space="0" w:color="auto"/>
        <w:right w:val="none" w:sz="0" w:space="0" w:color="auto"/>
      </w:divBdr>
    </w:div>
    <w:div w:id="1270818377">
      <w:bodyDiv w:val="1"/>
      <w:marLeft w:val="0"/>
      <w:marRight w:val="0"/>
      <w:marTop w:val="0"/>
      <w:marBottom w:val="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864319492">
              <w:marLeft w:val="0"/>
              <w:marRight w:val="0"/>
              <w:marTop w:val="0"/>
              <w:marBottom w:val="0"/>
              <w:divBdr>
                <w:top w:val="none" w:sz="0" w:space="0" w:color="auto"/>
                <w:left w:val="none" w:sz="0" w:space="0" w:color="auto"/>
                <w:bottom w:val="none" w:sz="0" w:space="0" w:color="auto"/>
                <w:right w:val="none" w:sz="0" w:space="0" w:color="auto"/>
              </w:divBdr>
              <w:divsChild>
                <w:div w:id="956179765">
                  <w:marLeft w:val="0"/>
                  <w:marRight w:val="0"/>
                  <w:marTop w:val="0"/>
                  <w:marBottom w:val="0"/>
                  <w:divBdr>
                    <w:top w:val="none" w:sz="0" w:space="0" w:color="auto"/>
                    <w:left w:val="none" w:sz="0" w:space="0" w:color="auto"/>
                    <w:bottom w:val="none" w:sz="0" w:space="0" w:color="auto"/>
                    <w:right w:val="none" w:sz="0" w:space="0" w:color="auto"/>
                  </w:divBdr>
                  <w:divsChild>
                    <w:div w:id="1436751435">
                      <w:marLeft w:val="0"/>
                      <w:marRight w:val="0"/>
                      <w:marTop w:val="0"/>
                      <w:marBottom w:val="0"/>
                      <w:divBdr>
                        <w:top w:val="none" w:sz="0" w:space="0" w:color="auto"/>
                        <w:left w:val="none" w:sz="0" w:space="0" w:color="auto"/>
                        <w:bottom w:val="none" w:sz="0" w:space="0" w:color="auto"/>
                        <w:right w:val="none" w:sz="0" w:space="0" w:color="auto"/>
                      </w:divBdr>
                      <w:divsChild>
                        <w:div w:id="216166096">
                          <w:marLeft w:val="0"/>
                          <w:marRight w:val="0"/>
                          <w:marTop w:val="0"/>
                          <w:marBottom w:val="0"/>
                          <w:divBdr>
                            <w:top w:val="none" w:sz="0" w:space="0" w:color="auto"/>
                            <w:left w:val="none" w:sz="0" w:space="0" w:color="auto"/>
                            <w:bottom w:val="none" w:sz="0" w:space="0" w:color="auto"/>
                            <w:right w:val="none" w:sz="0" w:space="0" w:color="auto"/>
                          </w:divBdr>
                          <w:divsChild>
                            <w:div w:id="1864662405">
                              <w:marLeft w:val="0"/>
                              <w:marRight w:val="0"/>
                              <w:marTop w:val="0"/>
                              <w:marBottom w:val="0"/>
                              <w:divBdr>
                                <w:top w:val="none" w:sz="0" w:space="0" w:color="auto"/>
                                <w:left w:val="none" w:sz="0" w:space="0" w:color="auto"/>
                                <w:bottom w:val="none" w:sz="0" w:space="0" w:color="auto"/>
                                <w:right w:val="none" w:sz="0" w:space="0" w:color="auto"/>
                              </w:divBdr>
                              <w:divsChild>
                                <w:div w:id="624502045">
                                  <w:marLeft w:val="-225"/>
                                  <w:marRight w:val="-225"/>
                                  <w:marTop w:val="0"/>
                                  <w:marBottom w:val="0"/>
                                  <w:divBdr>
                                    <w:top w:val="none" w:sz="0" w:space="0" w:color="auto"/>
                                    <w:left w:val="none" w:sz="0" w:space="0" w:color="auto"/>
                                    <w:bottom w:val="none" w:sz="0" w:space="0" w:color="auto"/>
                                    <w:right w:val="none" w:sz="0" w:space="0" w:color="auto"/>
                                  </w:divBdr>
                                  <w:divsChild>
                                    <w:div w:id="851802488">
                                      <w:marLeft w:val="0"/>
                                      <w:marRight w:val="0"/>
                                      <w:marTop w:val="0"/>
                                      <w:marBottom w:val="0"/>
                                      <w:divBdr>
                                        <w:top w:val="none" w:sz="0" w:space="0" w:color="auto"/>
                                        <w:left w:val="none" w:sz="0" w:space="0" w:color="auto"/>
                                        <w:bottom w:val="none" w:sz="0" w:space="0" w:color="auto"/>
                                        <w:right w:val="none" w:sz="0" w:space="0" w:color="auto"/>
                                      </w:divBdr>
                                      <w:divsChild>
                                        <w:div w:id="1354190491">
                                          <w:marLeft w:val="0"/>
                                          <w:marRight w:val="0"/>
                                          <w:marTop w:val="0"/>
                                          <w:marBottom w:val="0"/>
                                          <w:divBdr>
                                            <w:top w:val="none" w:sz="0" w:space="0" w:color="auto"/>
                                            <w:left w:val="none" w:sz="0" w:space="0" w:color="auto"/>
                                            <w:bottom w:val="none" w:sz="0" w:space="0" w:color="auto"/>
                                            <w:right w:val="none" w:sz="0" w:space="0" w:color="auto"/>
                                          </w:divBdr>
                                          <w:divsChild>
                                            <w:div w:id="445734153">
                                              <w:marLeft w:val="0"/>
                                              <w:marRight w:val="0"/>
                                              <w:marTop w:val="0"/>
                                              <w:marBottom w:val="0"/>
                                              <w:divBdr>
                                                <w:top w:val="none" w:sz="0" w:space="0" w:color="auto"/>
                                                <w:left w:val="none" w:sz="0" w:space="0" w:color="auto"/>
                                                <w:bottom w:val="none" w:sz="0" w:space="0" w:color="auto"/>
                                                <w:right w:val="none" w:sz="0" w:space="0" w:color="auto"/>
                                              </w:divBdr>
                                              <w:divsChild>
                                                <w:div w:id="1551264246">
                                                  <w:marLeft w:val="0"/>
                                                  <w:marRight w:val="0"/>
                                                  <w:marTop w:val="0"/>
                                                  <w:marBottom w:val="0"/>
                                                  <w:divBdr>
                                                    <w:top w:val="none" w:sz="0" w:space="0" w:color="auto"/>
                                                    <w:left w:val="none" w:sz="0" w:space="0" w:color="auto"/>
                                                    <w:bottom w:val="none" w:sz="0" w:space="0" w:color="auto"/>
                                                    <w:right w:val="none" w:sz="0" w:space="0" w:color="auto"/>
                                                  </w:divBdr>
                                                  <w:divsChild>
                                                    <w:div w:id="151993767">
                                                      <w:marLeft w:val="-225"/>
                                                      <w:marRight w:val="-225"/>
                                                      <w:marTop w:val="0"/>
                                                      <w:marBottom w:val="0"/>
                                                      <w:divBdr>
                                                        <w:top w:val="none" w:sz="0" w:space="0" w:color="auto"/>
                                                        <w:left w:val="none" w:sz="0" w:space="0" w:color="auto"/>
                                                        <w:bottom w:val="none" w:sz="0" w:space="0" w:color="auto"/>
                                                        <w:right w:val="none" w:sz="0" w:space="0" w:color="auto"/>
                                                      </w:divBdr>
                                                      <w:divsChild>
                                                        <w:div w:id="1797026424">
                                                          <w:marLeft w:val="0"/>
                                                          <w:marRight w:val="0"/>
                                                          <w:marTop w:val="0"/>
                                                          <w:marBottom w:val="0"/>
                                                          <w:divBdr>
                                                            <w:top w:val="none" w:sz="0" w:space="0" w:color="auto"/>
                                                            <w:left w:val="none" w:sz="0" w:space="0" w:color="auto"/>
                                                            <w:bottom w:val="none" w:sz="0" w:space="0" w:color="auto"/>
                                                            <w:right w:val="none" w:sz="0" w:space="0" w:color="auto"/>
                                                          </w:divBdr>
                                                          <w:divsChild>
                                                            <w:div w:id="1941714273">
                                                              <w:marLeft w:val="0"/>
                                                              <w:marRight w:val="0"/>
                                                              <w:marTop w:val="0"/>
                                                              <w:marBottom w:val="0"/>
                                                              <w:divBdr>
                                                                <w:top w:val="none" w:sz="0" w:space="0" w:color="auto"/>
                                                                <w:left w:val="none" w:sz="0" w:space="0" w:color="auto"/>
                                                                <w:bottom w:val="none" w:sz="0" w:space="0" w:color="auto"/>
                                                                <w:right w:val="none" w:sz="0" w:space="0" w:color="auto"/>
                                                              </w:divBdr>
                                                              <w:divsChild>
                                                                <w:div w:id="195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661552">
      <w:bodyDiv w:val="1"/>
      <w:marLeft w:val="0"/>
      <w:marRight w:val="0"/>
      <w:marTop w:val="0"/>
      <w:marBottom w:val="0"/>
      <w:divBdr>
        <w:top w:val="none" w:sz="0" w:space="0" w:color="auto"/>
        <w:left w:val="none" w:sz="0" w:space="0" w:color="auto"/>
        <w:bottom w:val="none" w:sz="0" w:space="0" w:color="auto"/>
        <w:right w:val="none" w:sz="0" w:space="0" w:color="auto"/>
      </w:divBdr>
      <w:divsChild>
        <w:div w:id="1313753173">
          <w:marLeft w:val="0"/>
          <w:marRight w:val="0"/>
          <w:marTop w:val="0"/>
          <w:marBottom w:val="0"/>
          <w:divBdr>
            <w:top w:val="none" w:sz="0" w:space="0" w:color="auto"/>
            <w:left w:val="none" w:sz="0" w:space="0" w:color="auto"/>
            <w:bottom w:val="none" w:sz="0" w:space="0" w:color="auto"/>
            <w:right w:val="none" w:sz="0" w:space="0" w:color="auto"/>
          </w:divBdr>
          <w:divsChild>
            <w:div w:id="1193884354">
              <w:marLeft w:val="0"/>
              <w:marRight w:val="0"/>
              <w:marTop w:val="0"/>
              <w:marBottom w:val="0"/>
              <w:divBdr>
                <w:top w:val="none" w:sz="0" w:space="0" w:color="auto"/>
                <w:left w:val="none" w:sz="0" w:space="0" w:color="auto"/>
                <w:bottom w:val="none" w:sz="0" w:space="0" w:color="auto"/>
                <w:right w:val="none" w:sz="0" w:space="0" w:color="auto"/>
              </w:divBdr>
              <w:divsChild>
                <w:div w:id="453333346">
                  <w:marLeft w:val="-225"/>
                  <w:marRight w:val="-225"/>
                  <w:marTop w:val="0"/>
                  <w:marBottom w:val="0"/>
                  <w:divBdr>
                    <w:top w:val="none" w:sz="0" w:space="0" w:color="auto"/>
                    <w:left w:val="none" w:sz="0" w:space="0" w:color="auto"/>
                    <w:bottom w:val="none" w:sz="0" w:space="0" w:color="auto"/>
                    <w:right w:val="none" w:sz="0" w:space="0" w:color="auto"/>
                  </w:divBdr>
                  <w:divsChild>
                    <w:div w:id="7322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7421">
      <w:bodyDiv w:val="1"/>
      <w:marLeft w:val="0"/>
      <w:marRight w:val="0"/>
      <w:marTop w:val="0"/>
      <w:marBottom w:val="0"/>
      <w:divBdr>
        <w:top w:val="none" w:sz="0" w:space="0" w:color="auto"/>
        <w:left w:val="none" w:sz="0" w:space="0" w:color="auto"/>
        <w:bottom w:val="none" w:sz="0" w:space="0" w:color="auto"/>
        <w:right w:val="none" w:sz="0" w:space="0" w:color="auto"/>
      </w:divBdr>
    </w:div>
    <w:div w:id="1660499495">
      <w:bodyDiv w:val="1"/>
      <w:marLeft w:val="0"/>
      <w:marRight w:val="0"/>
      <w:marTop w:val="0"/>
      <w:marBottom w:val="0"/>
      <w:divBdr>
        <w:top w:val="none" w:sz="0" w:space="0" w:color="auto"/>
        <w:left w:val="none" w:sz="0" w:space="0" w:color="auto"/>
        <w:bottom w:val="none" w:sz="0" w:space="0" w:color="auto"/>
        <w:right w:val="none" w:sz="0" w:space="0" w:color="auto"/>
      </w:divBdr>
    </w:div>
    <w:div w:id="1675763547">
      <w:bodyDiv w:val="1"/>
      <w:marLeft w:val="0"/>
      <w:marRight w:val="0"/>
      <w:marTop w:val="0"/>
      <w:marBottom w:val="0"/>
      <w:divBdr>
        <w:top w:val="none" w:sz="0" w:space="0" w:color="auto"/>
        <w:left w:val="none" w:sz="0" w:space="0" w:color="auto"/>
        <w:bottom w:val="none" w:sz="0" w:space="0" w:color="auto"/>
        <w:right w:val="none" w:sz="0" w:space="0" w:color="auto"/>
      </w:divBdr>
    </w:div>
    <w:div w:id="1706247731">
      <w:bodyDiv w:val="1"/>
      <w:marLeft w:val="0"/>
      <w:marRight w:val="0"/>
      <w:marTop w:val="0"/>
      <w:marBottom w:val="0"/>
      <w:divBdr>
        <w:top w:val="none" w:sz="0" w:space="0" w:color="auto"/>
        <w:left w:val="none" w:sz="0" w:space="0" w:color="auto"/>
        <w:bottom w:val="none" w:sz="0" w:space="0" w:color="auto"/>
        <w:right w:val="none" w:sz="0" w:space="0" w:color="auto"/>
      </w:divBdr>
    </w:div>
    <w:div w:id="1837844189">
      <w:bodyDiv w:val="1"/>
      <w:marLeft w:val="0"/>
      <w:marRight w:val="0"/>
      <w:marTop w:val="0"/>
      <w:marBottom w:val="0"/>
      <w:divBdr>
        <w:top w:val="none" w:sz="0" w:space="0" w:color="auto"/>
        <w:left w:val="none" w:sz="0" w:space="0" w:color="auto"/>
        <w:bottom w:val="none" w:sz="0" w:space="0" w:color="auto"/>
        <w:right w:val="none" w:sz="0" w:space="0" w:color="auto"/>
      </w:divBdr>
    </w:div>
    <w:div w:id="1970162251">
      <w:bodyDiv w:val="1"/>
      <w:marLeft w:val="0"/>
      <w:marRight w:val="0"/>
      <w:marTop w:val="0"/>
      <w:marBottom w:val="0"/>
      <w:divBdr>
        <w:top w:val="none" w:sz="0" w:space="0" w:color="auto"/>
        <w:left w:val="none" w:sz="0" w:space="0" w:color="auto"/>
        <w:bottom w:val="none" w:sz="0" w:space="0" w:color="auto"/>
        <w:right w:val="none" w:sz="0" w:space="0" w:color="auto"/>
      </w:divBdr>
    </w:div>
    <w:div w:id="2054503494">
      <w:bodyDiv w:val="1"/>
      <w:marLeft w:val="0"/>
      <w:marRight w:val="0"/>
      <w:marTop w:val="0"/>
      <w:marBottom w:val="0"/>
      <w:divBdr>
        <w:top w:val="none" w:sz="0" w:space="0" w:color="auto"/>
        <w:left w:val="none" w:sz="0" w:space="0" w:color="auto"/>
        <w:bottom w:val="none" w:sz="0" w:space="0" w:color="auto"/>
        <w:right w:val="none" w:sz="0" w:space="0" w:color="auto"/>
      </w:divBdr>
      <w:divsChild>
        <w:div w:id="331880499">
          <w:marLeft w:val="0"/>
          <w:marRight w:val="0"/>
          <w:marTop w:val="0"/>
          <w:marBottom w:val="0"/>
          <w:divBdr>
            <w:top w:val="none" w:sz="0" w:space="0" w:color="auto"/>
            <w:left w:val="none" w:sz="0" w:space="0" w:color="auto"/>
            <w:bottom w:val="none" w:sz="0" w:space="0" w:color="auto"/>
            <w:right w:val="none" w:sz="0" w:space="0" w:color="auto"/>
          </w:divBdr>
          <w:divsChild>
            <w:div w:id="1164514306">
              <w:marLeft w:val="0"/>
              <w:marRight w:val="0"/>
              <w:marTop w:val="0"/>
              <w:marBottom w:val="0"/>
              <w:divBdr>
                <w:top w:val="none" w:sz="0" w:space="0" w:color="auto"/>
                <w:left w:val="none" w:sz="0" w:space="0" w:color="auto"/>
                <w:bottom w:val="none" w:sz="0" w:space="0" w:color="auto"/>
                <w:right w:val="none" w:sz="0" w:space="0" w:color="auto"/>
              </w:divBdr>
              <w:divsChild>
                <w:div w:id="449512023">
                  <w:marLeft w:val="0"/>
                  <w:marRight w:val="0"/>
                  <w:marTop w:val="0"/>
                  <w:marBottom w:val="0"/>
                  <w:divBdr>
                    <w:top w:val="none" w:sz="0" w:space="0" w:color="auto"/>
                    <w:left w:val="none" w:sz="0" w:space="0" w:color="auto"/>
                    <w:bottom w:val="none" w:sz="0" w:space="0" w:color="auto"/>
                    <w:right w:val="none" w:sz="0" w:space="0" w:color="auto"/>
                  </w:divBdr>
                  <w:divsChild>
                    <w:div w:id="1666281347">
                      <w:marLeft w:val="0"/>
                      <w:marRight w:val="0"/>
                      <w:marTop w:val="0"/>
                      <w:marBottom w:val="0"/>
                      <w:divBdr>
                        <w:top w:val="none" w:sz="0" w:space="0" w:color="auto"/>
                        <w:left w:val="none" w:sz="0" w:space="0" w:color="auto"/>
                        <w:bottom w:val="none" w:sz="0" w:space="0" w:color="auto"/>
                        <w:right w:val="none" w:sz="0" w:space="0" w:color="auto"/>
                      </w:divBdr>
                      <w:divsChild>
                        <w:div w:id="1117987294">
                          <w:marLeft w:val="0"/>
                          <w:marRight w:val="0"/>
                          <w:marTop w:val="0"/>
                          <w:marBottom w:val="0"/>
                          <w:divBdr>
                            <w:top w:val="none" w:sz="0" w:space="0" w:color="auto"/>
                            <w:left w:val="none" w:sz="0" w:space="0" w:color="auto"/>
                            <w:bottom w:val="none" w:sz="0" w:space="0" w:color="auto"/>
                            <w:right w:val="none" w:sz="0" w:space="0" w:color="auto"/>
                          </w:divBdr>
                          <w:divsChild>
                            <w:div w:id="7173677">
                              <w:marLeft w:val="0"/>
                              <w:marRight w:val="0"/>
                              <w:marTop w:val="0"/>
                              <w:marBottom w:val="0"/>
                              <w:divBdr>
                                <w:top w:val="none" w:sz="0" w:space="0" w:color="auto"/>
                                <w:left w:val="none" w:sz="0" w:space="0" w:color="auto"/>
                                <w:bottom w:val="none" w:sz="0" w:space="0" w:color="auto"/>
                                <w:right w:val="none" w:sz="0" w:space="0" w:color="auto"/>
                              </w:divBdr>
                              <w:divsChild>
                                <w:div w:id="199325481">
                                  <w:marLeft w:val="0"/>
                                  <w:marRight w:val="0"/>
                                  <w:marTop w:val="0"/>
                                  <w:marBottom w:val="0"/>
                                  <w:divBdr>
                                    <w:top w:val="none" w:sz="0" w:space="0" w:color="auto"/>
                                    <w:left w:val="none" w:sz="0" w:space="0" w:color="auto"/>
                                    <w:bottom w:val="none" w:sz="0" w:space="0" w:color="auto"/>
                                    <w:right w:val="none" w:sz="0" w:space="0" w:color="auto"/>
                                  </w:divBdr>
                                  <w:divsChild>
                                    <w:div w:id="1103766941">
                                      <w:marLeft w:val="0"/>
                                      <w:marRight w:val="0"/>
                                      <w:marTop w:val="0"/>
                                      <w:marBottom w:val="0"/>
                                      <w:divBdr>
                                        <w:top w:val="none" w:sz="0" w:space="0" w:color="auto"/>
                                        <w:left w:val="none" w:sz="0" w:space="0" w:color="auto"/>
                                        <w:bottom w:val="none" w:sz="0" w:space="0" w:color="auto"/>
                                        <w:right w:val="none" w:sz="0" w:space="0" w:color="auto"/>
                                      </w:divBdr>
                                      <w:divsChild>
                                        <w:div w:id="1983270953">
                                          <w:marLeft w:val="0"/>
                                          <w:marRight w:val="0"/>
                                          <w:marTop w:val="0"/>
                                          <w:marBottom w:val="0"/>
                                          <w:divBdr>
                                            <w:top w:val="none" w:sz="0" w:space="0" w:color="auto"/>
                                            <w:left w:val="none" w:sz="0" w:space="0" w:color="auto"/>
                                            <w:bottom w:val="none" w:sz="0" w:space="0" w:color="auto"/>
                                            <w:right w:val="none" w:sz="0" w:space="0" w:color="auto"/>
                                          </w:divBdr>
                                          <w:divsChild>
                                            <w:div w:id="1679965515">
                                              <w:marLeft w:val="0"/>
                                              <w:marRight w:val="0"/>
                                              <w:marTop w:val="0"/>
                                              <w:marBottom w:val="0"/>
                                              <w:divBdr>
                                                <w:top w:val="none" w:sz="0" w:space="0" w:color="auto"/>
                                                <w:left w:val="none" w:sz="0" w:space="0" w:color="auto"/>
                                                <w:bottom w:val="none" w:sz="0" w:space="0" w:color="auto"/>
                                                <w:right w:val="none" w:sz="0" w:space="0" w:color="auto"/>
                                              </w:divBdr>
                                              <w:divsChild>
                                                <w:div w:id="574240814">
                                                  <w:marLeft w:val="0"/>
                                                  <w:marRight w:val="0"/>
                                                  <w:marTop w:val="0"/>
                                                  <w:marBottom w:val="0"/>
                                                  <w:divBdr>
                                                    <w:top w:val="none" w:sz="0" w:space="0" w:color="auto"/>
                                                    <w:left w:val="none" w:sz="0" w:space="0" w:color="auto"/>
                                                    <w:bottom w:val="none" w:sz="0" w:space="0" w:color="auto"/>
                                                    <w:right w:val="none" w:sz="0" w:space="0" w:color="auto"/>
                                                  </w:divBdr>
                                                  <w:divsChild>
                                                    <w:div w:id="1225604551">
                                                      <w:marLeft w:val="0"/>
                                                      <w:marRight w:val="0"/>
                                                      <w:marTop w:val="0"/>
                                                      <w:marBottom w:val="0"/>
                                                      <w:divBdr>
                                                        <w:top w:val="single" w:sz="6" w:space="0" w:color="auto"/>
                                                        <w:left w:val="none" w:sz="0" w:space="0" w:color="auto"/>
                                                        <w:bottom w:val="single" w:sz="6" w:space="0" w:color="auto"/>
                                                        <w:right w:val="none" w:sz="0" w:space="0" w:color="auto"/>
                                                      </w:divBdr>
                                                      <w:divsChild>
                                                        <w:div w:id="834758251">
                                                          <w:marLeft w:val="0"/>
                                                          <w:marRight w:val="0"/>
                                                          <w:marTop w:val="0"/>
                                                          <w:marBottom w:val="0"/>
                                                          <w:divBdr>
                                                            <w:top w:val="none" w:sz="0" w:space="0" w:color="auto"/>
                                                            <w:left w:val="none" w:sz="0" w:space="0" w:color="auto"/>
                                                            <w:bottom w:val="none" w:sz="0" w:space="0" w:color="auto"/>
                                                            <w:right w:val="none" w:sz="0" w:space="0" w:color="auto"/>
                                                          </w:divBdr>
                                                          <w:divsChild>
                                                            <w:div w:id="676346228">
                                                              <w:marLeft w:val="0"/>
                                                              <w:marRight w:val="0"/>
                                                              <w:marTop w:val="0"/>
                                                              <w:marBottom w:val="0"/>
                                                              <w:divBdr>
                                                                <w:top w:val="none" w:sz="0" w:space="0" w:color="auto"/>
                                                                <w:left w:val="none" w:sz="0" w:space="0" w:color="auto"/>
                                                                <w:bottom w:val="none" w:sz="0" w:space="0" w:color="auto"/>
                                                                <w:right w:val="none" w:sz="0" w:space="0" w:color="auto"/>
                                                              </w:divBdr>
                                                              <w:divsChild>
                                                                <w:div w:id="1266041058">
                                                                  <w:marLeft w:val="0"/>
                                                                  <w:marRight w:val="0"/>
                                                                  <w:marTop w:val="0"/>
                                                                  <w:marBottom w:val="0"/>
                                                                  <w:divBdr>
                                                                    <w:top w:val="none" w:sz="0" w:space="0" w:color="auto"/>
                                                                    <w:left w:val="none" w:sz="0" w:space="0" w:color="auto"/>
                                                                    <w:bottom w:val="none" w:sz="0" w:space="0" w:color="auto"/>
                                                                    <w:right w:val="none" w:sz="0" w:space="0" w:color="auto"/>
                                                                  </w:divBdr>
                                                                  <w:divsChild>
                                                                    <w:div w:id="1900439831">
                                                                      <w:marLeft w:val="0"/>
                                                                      <w:marRight w:val="0"/>
                                                                      <w:marTop w:val="0"/>
                                                                      <w:marBottom w:val="0"/>
                                                                      <w:divBdr>
                                                                        <w:top w:val="none" w:sz="0" w:space="0" w:color="auto"/>
                                                                        <w:left w:val="none" w:sz="0" w:space="0" w:color="auto"/>
                                                                        <w:bottom w:val="none" w:sz="0" w:space="0" w:color="auto"/>
                                                                        <w:right w:val="none" w:sz="0" w:space="0" w:color="auto"/>
                                                                      </w:divBdr>
                                                                      <w:divsChild>
                                                                        <w:div w:id="2098818212">
                                                                          <w:marLeft w:val="0"/>
                                                                          <w:marRight w:val="0"/>
                                                                          <w:marTop w:val="0"/>
                                                                          <w:marBottom w:val="0"/>
                                                                          <w:divBdr>
                                                                            <w:top w:val="none" w:sz="0" w:space="0" w:color="auto"/>
                                                                            <w:left w:val="none" w:sz="0" w:space="0" w:color="auto"/>
                                                                            <w:bottom w:val="none" w:sz="0" w:space="0" w:color="auto"/>
                                                                            <w:right w:val="none" w:sz="0" w:space="0" w:color="auto"/>
                                                                          </w:divBdr>
                                                                          <w:divsChild>
                                                                            <w:div w:id="1639527704">
                                                                              <w:marLeft w:val="0"/>
                                                                              <w:marRight w:val="0"/>
                                                                              <w:marTop w:val="0"/>
                                                                              <w:marBottom w:val="0"/>
                                                                              <w:divBdr>
                                                                                <w:top w:val="none" w:sz="0" w:space="0" w:color="auto"/>
                                                                                <w:left w:val="none" w:sz="0" w:space="0" w:color="auto"/>
                                                                                <w:bottom w:val="none" w:sz="0" w:space="0" w:color="auto"/>
                                                                                <w:right w:val="none" w:sz="0" w:space="0" w:color="auto"/>
                                                                              </w:divBdr>
                                                                              <w:divsChild>
                                                                                <w:div w:id="483086074">
                                                                                  <w:marLeft w:val="0"/>
                                                                                  <w:marRight w:val="0"/>
                                                                                  <w:marTop w:val="0"/>
                                                                                  <w:marBottom w:val="0"/>
                                                                                  <w:divBdr>
                                                                                    <w:top w:val="none" w:sz="0" w:space="0" w:color="auto"/>
                                                                                    <w:left w:val="none" w:sz="0" w:space="0" w:color="auto"/>
                                                                                    <w:bottom w:val="none" w:sz="0" w:space="0" w:color="auto"/>
                                                                                    <w:right w:val="none" w:sz="0" w:space="0" w:color="auto"/>
                                                                                  </w:divBdr>
                                                                                  <w:divsChild>
                                                                                    <w:div w:id="418599881">
                                                                                      <w:marLeft w:val="0"/>
                                                                                      <w:marRight w:val="0"/>
                                                                                      <w:marTop w:val="0"/>
                                                                                      <w:marBottom w:val="0"/>
                                                                                      <w:divBdr>
                                                                                        <w:top w:val="none" w:sz="0" w:space="0" w:color="auto"/>
                                                                                        <w:left w:val="none" w:sz="0" w:space="0" w:color="auto"/>
                                                                                        <w:bottom w:val="none" w:sz="0" w:space="0" w:color="auto"/>
                                                                                        <w:right w:val="none" w:sz="0" w:space="0" w:color="auto"/>
                                                                                      </w:divBdr>
                                                                                    </w:div>
                                                                                    <w:div w:id="1312247306">
                                                                                      <w:marLeft w:val="0"/>
                                                                                      <w:marRight w:val="0"/>
                                                                                      <w:marTop w:val="0"/>
                                                                                      <w:marBottom w:val="0"/>
                                                                                      <w:divBdr>
                                                                                        <w:top w:val="none" w:sz="0" w:space="0" w:color="auto"/>
                                                                                        <w:left w:val="none" w:sz="0" w:space="0" w:color="auto"/>
                                                                                        <w:bottom w:val="none" w:sz="0" w:space="0" w:color="auto"/>
                                                                                        <w:right w:val="none" w:sz="0" w:space="0" w:color="auto"/>
                                                                                      </w:divBdr>
                                                                                    </w:div>
                                                                                    <w:div w:id="1531606653">
                                                                                      <w:marLeft w:val="0"/>
                                                                                      <w:marRight w:val="0"/>
                                                                                      <w:marTop w:val="0"/>
                                                                                      <w:marBottom w:val="0"/>
                                                                                      <w:divBdr>
                                                                                        <w:top w:val="none" w:sz="0" w:space="0" w:color="auto"/>
                                                                                        <w:left w:val="none" w:sz="0" w:space="0" w:color="auto"/>
                                                                                        <w:bottom w:val="none" w:sz="0" w:space="0" w:color="auto"/>
                                                                                        <w:right w:val="none" w:sz="0" w:space="0" w:color="auto"/>
                                                                                      </w:divBdr>
                                                                                    </w:div>
                                                                                    <w:div w:id="1958482159">
                                                                                      <w:marLeft w:val="0"/>
                                                                                      <w:marRight w:val="0"/>
                                                                                      <w:marTop w:val="0"/>
                                                                                      <w:marBottom w:val="0"/>
                                                                                      <w:divBdr>
                                                                                        <w:top w:val="none" w:sz="0" w:space="0" w:color="auto"/>
                                                                                        <w:left w:val="none" w:sz="0" w:space="0" w:color="auto"/>
                                                                                        <w:bottom w:val="none" w:sz="0" w:space="0" w:color="auto"/>
                                                                                        <w:right w:val="none" w:sz="0" w:space="0" w:color="auto"/>
                                                                                      </w:divBdr>
                                                                                    </w:div>
                                                                                    <w:div w:id="1970502714">
                                                                                      <w:marLeft w:val="0"/>
                                                                                      <w:marRight w:val="0"/>
                                                                                      <w:marTop w:val="0"/>
                                                                                      <w:marBottom w:val="0"/>
                                                                                      <w:divBdr>
                                                                                        <w:top w:val="none" w:sz="0" w:space="0" w:color="auto"/>
                                                                                        <w:left w:val="none" w:sz="0" w:space="0" w:color="auto"/>
                                                                                        <w:bottom w:val="none" w:sz="0" w:space="0" w:color="auto"/>
                                                                                        <w:right w:val="none" w:sz="0" w:space="0" w:color="auto"/>
                                                                                      </w:divBdr>
                                                                                    </w:div>
                                                                                  </w:divsChild>
                                                                                </w:div>
                                                                                <w:div w:id="779494590">
                                                                                  <w:marLeft w:val="0"/>
                                                                                  <w:marRight w:val="0"/>
                                                                                  <w:marTop w:val="0"/>
                                                                                  <w:marBottom w:val="0"/>
                                                                                  <w:divBdr>
                                                                                    <w:top w:val="none" w:sz="0" w:space="0" w:color="auto"/>
                                                                                    <w:left w:val="none" w:sz="0" w:space="0" w:color="auto"/>
                                                                                    <w:bottom w:val="none" w:sz="0" w:space="0" w:color="auto"/>
                                                                                    <w:right w:val="none" w:sz="0" w:space="0" w:color="auto"/>
                                                                                  </w:divBdr>
                                                                                  <w:divsChild>
                                                                                    <w:div w:id="653799012">
                                                                                      <w:marLeft w:val="0"/>
                                                                                      <w:marRight w:val="0"/>
                                                                                      <w:marTop w:val="0"/>
                                                                                      <w:marBottom w:val="0"/>
                                                                                      <w:divBdr>
                                                                                        <w:top w:val="none" w:sz="0" w:space="0" w:color="auto"/>
                                                                                        <w:left w:val="none" w:sz="0" w:space="0" w:color="auto"/>
                                                                                        <w:bottom w:val="none" w:sz="0" w:space="0" w:color="auto"/>
                                                                                        <w:right w:val="none" w:sz="0" w:space="0" w:color="auto"/>
                                                                                      </w:divBdr>
                                                                                    </w:div>
                                                                                    <w:div w:id="726227075">
                                                                                      <w:marLeft w:val="0"/>
                                                                                      <w:marRight w:val="0"/>
                                                                                      <w:marTop w:val="0"/>
                                                                                      <w:marBottom w:val="0"/>
                                                                                      <w:divBdr>
                                                                                        <w:top w:val="none" w:sz="0" w:space="0" w:color="auto"/>
                                                                                        <w:left w:val="none" w:sz="0" w:space="0" w:color="auto"/>
                                                                                        <w:bottom w:val="none" w:sz="0" w:space="0" w:color="auto"/>
                                                                                        <w:right w:val="none" w:sz="0" w:space="0" w:color="auto"/>
                                                                                      </w:divBdr>
                                                                                    </w:div>
                                                                                    <w:div w:id="902987109">
                                                                                      <w:marLeft w:val="0"/>
                                                                                      <w:marRight w:val="0"/>
                                                                                      <w:marTop w:val="0"/>
                                                                                      <w:marBottom w:val="0"/>
                                                                                      <w:divBdr>
                                                                                        <w:top w:val="none" w:sz="0" w:space="0" w:color="auto"/>
                                                                                        <w:left w:val="none" w:sz="0" w:space="0" w:color="auto"/>
                                                                                        <w:bottom w:val="none" w:sz="0" w:space="0" w:color="auto"/>
                                                                                        <w:right w:val="none" w:sz="0" w:space="0" w:color="auto"/>
                                                                                      </w:divBdr>
                                                                                    </w:div>
                                                                                    <w:div w:id="1077677436">
                                                                                      <w:marLeft w:val="0"/>
                                                                                      <w:marRight w:val="0"/>
                                                                                      <w:marTop w:val="0"/>
                                                                                      <w:marBottom w:val="0"/>
                                                                                      <w:divBdr>
                                                                                        <w:top w:val="none" w:sz="0" w:space="0" w:color="auto"/>
                                                                                        <w:left w:val="none" w:sz="0" w:space="0" w:color="auto"/>
                                                                                        <w:bottom w:val="none" w:sz="0" w:space="0" w:color="auto"/>
                                                                                        <w:right w:val="none" w:sz="0" w:space="0" w:color="auto"/>
                                                                                      </w:divBdr>
                                                                                    </w:div>
                                                                                    <w:div w:id="1820263065">
                                                                                      <w:marLeft w:val="0"/>
                                                                                      <w:marRight w:val="0"/>
                                                                                      <w:marTop w:val="0"/>
                                                                                      <w:marBottom w:val="0"/>
                                                                                      <w:divBdr>
                                                                                        <w:top w:val="none" w:sz="0" w:space="0" w:color="auto"/>
                                                                                        <w:left w:val="none" w:sz="0" w:space="0" w:color="auto"/>
                                                                                        <w:bottom w:val="none" w:sz="0" w:space="0" w:color="auto"/>
                                                                                        <w:right w:val="none" w:sz="0" w:space="0" w:color="auto"/>
                                                                                      </w:divBdr>
                                                                                    </w:div>
                                                                                  </w:divsChild>
                                                                                </w:div>
                                                                                <w:div w:id="858469745">
                                                                                  <w:marLeft w:val="0"/>
                                                                                  <w:marRight w:val="0"/>
                                                                                  <w:marTop w:val="0"/>
                                                                                  <w:marBottom w:val="0"/>
                                                                                  <w:divBdr>
                                                                                    <w:top w:val="none" w:sz="0" w:space="0" w:color="auto"/>
                                                                                    <w:left w:val="none" w:sz="0" w:space="0" w:color="auto"/>
                                                                                    <w:bottom w:val="none" w:sz="0" w:space="0" w:color="auto"/>
                                                                                    <w:right w:val="none" w:sz="0" w:space="0" w:color="auto"/>
                                                                                  </w:divBdr>
                                                                                  <w:divsChild>
                                                                                    <w:div w:id="545290153">
                                                                                      <w:marLeft w:val="0"/>
                                                                                      <w:marRight w:val="0"/>
                                                                                      <w:marTop w:val="0"/>
                                                                                      <w:marBottom w:val="0"/>
                                                                                      <w:divBdr>
                                                                                        <w:top w:val="none" w:sz="0" w:space="0" w:color="auto"/>
                                                                                        <w:left w:val="none" w:sz="0" w:space="0" w:color="auto"/>
                                                                                        <w:bottom w:val="none" w:sz="0" w:space="0" w:color="auto"/>
                                                                                        <w:right w:val="none" w:sz="0" w:space="0" w:color="auto"/>
                                                                                      </w:divBdr>
                                                                                    </w:div>
                                                                                    <w:div w:id="833495565">
                                                                                      <w:marLeft w:val="0"/>
                                                                                      <w:marRight w:val="0"/>
                                                                                      <w:marTop w:val="0"/>
                                                                                      <w:marBottom w:val="0"/>
                                                                                      <w:divBdr>
                                                                                        <w:top w:val="none" w:sz="0" w:space="0" w:color="auto"/>
                                                                                        <w:left w:val="none" w:sz="0" w:space="0" w:color="auto"/>
                                                                                        <w:bottom w:val="none" w:sz="0" w:space="0" w:color="auto"/>
                                                                                        <w:right w:val="none" w:sz="0" w:space="0" w:color="auto"/>
                                                                                      </w:divBdr>
                                                                                    </w:div>
                                                                                    <w:div w:id="1192063311">
                                                                                      <w:marLeft w:val="0"/>
                                                                                      <w:marRight w:val="0"/>
                                                                                      <w:marTop w:val="0"/>
                                                                                      <w:marBottom w:val="0"/>
                                                                                      <w:divBdr>
                                                                                        <w:top w:val="none" w:sz="0" w:space="0" w:color="auto"/>
                                                                                        <w:left w:val="none" w:sz="0" w:space="0" w:color="auto"/>
                                                                                        <w:bottom w:val="none" w:sz="0" w:space="0" w:color="auto"/>
                                                                                        <w:right w:val="none" w:sz="0" w:space="0" w:color="auto"/>
                                                                                      </w:divBdr>
                                                                                    </w:div>
                                                                                    <w:div w:id="1524397082">
                                                                                      <w:marLeft w:val="0"/>
                                                                                      <w:marRight w:val="0"/>
                                                                                      <w:marTop w:val="0"/>
                                                                                      <w:marBottom w:val="0"/>
                                                                                      <w:divBdr>
                                                                                        <w:top w:val="none" w:sz="0" w:space="0" w:color="auto"/>
                                                                                        <w:left w:val="none" w:sz="0" w:space="0" w:color="auto"/>
                                                                                        <w:bottom w:val="none" w:sz="0" w:space="0" w:color="auto"/>
                                                                                        <w:right w:val="none" w:sz="0" w:space="0" w:color="auto"/>
                                                                                      </w:divBdr>
                                                                                    </w:div>
                                                                                    <w:div w:id="1666205176">
                                                                                      <w:marLeft w:val="0"/>
                                                                                      <w:marRight w:val="0"/>
                                                                                      <w:marTop w:val="0"/>
                                                                                      <w:marBottom w:val="0"/>
                                                                                      <w:divBdr>
                                                                                        <w:top w:val="none" w:sz="0" w:space="0" w:color="auto"/>
                                                                                        <w:left w:val="none" w:sz="0" w:space="0" w:color="auto"/>
                                                                                        <w:bottom w:val="none" w:sz="0" w:space="0" w:color="auto"/>
                                                                                        <w:right w:val="none" w:sz="0" w:space="0" w:color="auto"/>
                                                                                      </w:divBdr>
                                                                                    </w:div>
                                                                                  </w:divsChild>
                                                                                </w:div>
                                                                                <w:div w:id="1458913311">
                                                                                  <w:marLeft w:val="0"/>
                                                                                  <w:marRight w:val="0"/>
                                                                                  <w:marTop w:val="0"/>
                                                                                  <w:marBottom w:val="0"/>
                                                                                  <w:divBdr>
                                                                                    <w:top w:val="none" w:sz="0" w:space="0" w:color="auto"/>
                                                                                    <w:left w:val="none" w:sz="0" w:space="0" w:color="auto"/>
                                                                                    <w:bottom w:val="none" w:sz="0" w:space="0" w:color="auto"/>
                                                                                    <w:right w:val="none" w:sz="0" w:space="0" w:color="auto"/>
                                                                                  </w:divBdr>
                                                                                  <w:divsChild>
                                                                                    <w:div w:id="270206209">
                                                                                      <w:marLeft w:val="0"/>
                                                                                      <w:marRight w:val="0"/>
                                                                                      <w:marTop w:val="0"/>
                                                                                      <w:marBottom w:val="0"/>
                                                                                      <w:divBdr>
                                                                                        <w:top w:val="none" w:sz="0" w:space="0" w:color="auto"/>
                                                                                        <w:left w:val="none" w:sz="0" w:space="0" w:color="auto"/>
                                                                                        <w:bottom w:val="none" w:sz="0" w:space="0" w:color="auto"/>
                                                                                        <w:right w:val="none" w:sz="0" w:space="0" w:color="auto"/>
                                                                                      </w:divBdr>
                                                                                    </w:div>
                                                                                    <w:div w:id="1590114001">
                                                                                      <w:marLeft w:val="0"/>
                                                                                      <w:marRight w:val="0"/>
                                                                                      <w:marTop w:val="0"/>
                                                                                      <w:marBottom w:val="0"/>
                                                                                      <w:divBdr>
                                                                                        <w:top w:val="none" w:sz="0" w:space="0" w:color="auto"/>
                                                                                        <w:left w:val="none" w:sz="0" w:space="0" w:color="auto"/>
                                                                                        <w:bottom w:val="none" w:sz="0" w:space="0" w:color="auto"/>
                                                                                        <w:right w:val="none" w:sz="0" w:space="0" w:color="auto"/>
                                                                                      </w:divBdr>
                                                                                    </w:div>
                                                                                    <w:div w:id="1889805261">
                                                                                      <w:marLeft w:val="0"/>
                                                                                      <w:marRight w:val="0"/>
                                                                                      <w:marTop w:val="0"/>
                                                                                      <w:marBottom w:val="0"/>
                                                                                      <w:divBdr>
                                                                                        <w:top w:val="none" w:sz="0" w:space="0" w:color="auto"/>
                                                                                        <w:left w:val="none" w:sz="0" w:space="0" w:color="auto"/>
                                                                                        <w:bottom w:val="none" w:sz="0" w:space="0" w:color="auto"/>
                                                                                        <w:right w:val="none" w:sz="0" w:space="0" w:color="auto"/>
                                                                                      </w:divBdr>
                                                                                    </w:div>
                                                                                    <w:div w:id="2049379288">
                                                                                      <w:marLeft w:val="0"/>
                                                                                      <w:marRight w:val="0"/>
                                                                                      <w:marTop w:val="0"/>
                                                                                      <w:marBottom w:val="0"/>
                                                                                      <w:divBdr>
                                                                                        <w:top w:val="none" w:sz="0" w:space="0" w:color="auto"/>
                                                                                        <w:left w:val="none" w:sz="0" w:space="0" w:color="auto"/>
                                                                                        <w:bottom w:val="none" w:sz="0" w:space="0" w:color="auto"/>
                                                                                        <w:right w:val="none" w:sz="0" w:space="0" w:color="auto"/>
                                                                                      </w:divBdr>
                                                                                    </w:div>
                                                                                    <w:div w:id="2054501700">
                                                                                      <w:marLeft w:val="0"/>
                                                                                      <w:marRight w:val="0"/>
                                                                                      <w:marTop w:val="0"/>
                                                                                      <w:marBottom w:val="0"/>
                                                                                      <w:divBdr>
                                                                                        <w:top w:val="none" w:sz="0" w:space="0" w:color="auto"/>
                                                                                        <w:left w:val="none" w:sz="0" w:space="0" w:color="auto"/>
                                                                                        <w:bottom w:val="none" w:sz="0" w:space="0" w:color="auto"/>
                                                                                        <w:right w:val="none" w:sz="0" w:space="0" w:color="auto"/>
                                                                                      </w:divBdr>
                                                                                    </w:div>
                                                                                  </w:divsChild>
                                                                                </w:div>
                                                                                <w:div w:id="1821456921">
                                                                                  <w:marLeft w:val="0"/>
                                                                                  <w:marRight w:val="0"/>
                                                                                  <w:marTop w:val="0"/>
                                                                                  <w:marBottom w:val="0"/>
                                                                                  <w:divBdr>
                                                                                    <w:top w:val="none" w:sz="0" w:space="0" w:color="auto"/>
                                                                                    <w:left w:val="none" w:sz="0" w:space="0" w:color="auto"/>
                                                                                    <w:bottom w:val="none" w:sz="0" w:space="0" w:color="auto"/>
                                                                                    <w:right w:val="none" w:sz="0" w:space="0" w:color="auto"/>
                                                                                  </w:divBdr>
                                                                                  <w:divsChild>
                                                                                    <w:div w:id="135298224">
                                                                                      <w:marLeft w:val="0"/>
                                                                                      <w:marRight w:val="0"/>
                                                                                      <w:marTop w:val="0"/>
                                                                                      <w:marBottom w:val="0"/>
                                                                                      <w:divBdr>
                                                                                        <w:top w:val="none" w:sz="0" w:space="0" w:color="auto"/>
                                                                                        <w:left w:val="none" w:sz="0" w:space="0" w:color="auto"/>
                                                                                        <w:bottom w:val="none" w:sz="0" w:space="0" w:color="auto"/>
                                                                                        <w:right w:val="none" w:sz="0" w:space="0" w:color="auto"/>
                                                                                      </w:divBdr>
                                                                                    </w:div>
                                                                                    <w:div w:id="179199855">
                                                                                      <w:marLeft w:val="0"/>
                                                                                      <w:marRight w:val="0"/>
                                                                                      <w:marTop w:val="0"/>
                                                                                      <w:marBottom w:val="0"/>
                                                                                      <w:divBdr>
                                                                                        <w:top w:val="none" w:sz="0" w:space="0" w:color="auto"/>
                                                                                        <w:left w:val="none" w:sz="0" w:space="0" w:color="auto"/>
                                                                                        <w:bottom w:val="none" w:sz="0" w:space="0" w:color="auto"/>
                                                                                        <w:right w:val="none" w:sz="0" w:space="0" w:color="auto"/>
                                                                                      </w:divBdr>
                                                                                    </w:div>
                                                                                    <w:div w:id="1314872386">
                                                                                      <w:marLeft w:val="0"/>
                                                                                      <w:marRight w:val="0"/>
                                                                                      <w:marTop w:val="0"/>
                                                                                      <w:marBottom w:val="0"/>
                                                                                      <w:divBdr>
                                                                                        <w:top w:val="none" w:sz="0" w:space="0" w:color="auto"/>
                                                                                        <w:left w:val="none" w:sz="0" w:space="0" w:color="auto"/>
                                                                                        <w:bottom w:val="none" w:sz="0" w:space="0" w:color="auto"/>
                                                                                        <w:right w:val="none" w:sz="0" w:space="0" w:color="auto"/>
                                                                                      </w:divBdr>
                                                                                    </w:div>
                                                                                    <w:div w:id="1397169030">
                                                                                      <w:marLeft w:val="0"/>
                                                                                      <w:marRight w:val="0"/>
                                                                                      <w:marTop w:val="0"/>
                                                                                      <w:marBottom w:val="0"/>
                                                                                      <w:divBdr>
                                                                                        <w:top w:val="none" w:sz="0" w:space="0" w:color="auto"/>
                                                                                        <w:left w:val="none" w:sz="0" w:space="0" w:color="auto"/>
                                                                                        <w:bottom w:val="none" w:sz="0" w:space="0" w:color="auto"/>
                                                                                        <w:right w:val="none" w:sz="0" w:space="0" w:color="auto"/>
                                                                                      </w:divBdr>
                                                                                    </w:div>
                                                                                    <w:div w:id="17285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910622">
      <w:bodyDiv w:val="1"/>
      <w:marLeft w:val="0"/>
      <w:marRight w:val="0"/>
      <w:marTop w:val="0"/>
      <w:marBottom w:val="0"/>
      <w:divBdr>
        <w:top w:val="none" w:sz="0" w:space="0" w:color="auto"/>
        <w:left w:val="none" w:sz="0" w:space="0" w:color="auto"/>
        <w:bottom w:val="none" w:sz="0" w:space="0" w:color="auto"/>
        <w:right w:val="none" w:sz="0" w:space="0" w:color="auto"/>
      </w:divBdr>
    </w:div>
    <w:div w:id="2094474351">
      <w:bodyDiv w:val="1"/>
      <w:marLeft w:val="0"/>
      <w:marRight w:val="0"/>
      <w:marTop w:val="0"/>
      <w:marBottom w:val="0"/>
      <w:divBdr>
        <w:top w:val="none" w:sz="0" w:space="0" w:color="auto"/>
        <w:left w:val="none" w:sz="0" w:space="0" w:color="auto"/>
        <w:bottom w:val="none" w:sz="0" w:space="0" w:color="auto"/>
        <w:right w:val="none" w:sz="0" w:space="0" w:color="auto"/>
      </w:divBdr>
    </w:div>
    <w:div w:id="2110078160">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 w:id="2116368307">
      <w:bodyDiv w:val="1"/>
      <w:marLeft w:val="0"/>
      <w:marRight w:val="0"/>
      <w:marTop w:val="0"/>
      <w:marBottom w:val="0"/>
      <w:divBdr>
        <w:top w:val="none" w:sz="0" w:space="0" w:color="auto"/>
        <w:left w:val="none" w:sz="0" w:space="0" w:color="auto"/>
        <w:bottom w:val="none" w:sz="0" w:space="0" w:color="auto"/>
        <w:right w:val="none" w:sz="0" w:space="0" w:color="auto"/>
      </w:divBdr>
      <w:divsChild>
        <w:div w:id="414282403">
          <w:marLeft w:val="0"/>
          <w:marRight w:val="0"/>
          <w:marTop w:val="0"/>
          <w:marBottom w:val="0"/>
          <w:divBdr>
            <w:top w:val="none" w:sz="0" w:space="0" w:color="auto"/>
            <w:left w:val="none" w:sz="0" w:space="0" w:color="auto"/>
            <w:bottom w:val="none" w:sz="0" w:space="0" w:color="auto"/>
            <w:right w:val="none" w:sz="0" w:space="0" w:color="auto"/>
          </w:divBdr>
          <w:divsChild>
            <w:div w:id="1455321557">
              <w:marLeft w:val="0"/>
              <w:marRight w:val="0"/>
              <w:marTop w:val="0"/>
              <w:marBottom w:val="0"/>
              <w:divBdr>
                <w:top w:val="none" w:sz="0" w:space="0" w:color="auto"/>
                <w:left w:val="none" w:sz="0" w:space="0" w:color="auto"/>
                <w:bottom w:val="none" w:sz="0" w:space="0" w:color="auto"/>
                <w:right w:val="none" w:sz="0" w:space="0" w:color="auto"/>
              </w:divBdr>
              <w:divsChild>
                <w:div w:id="1670056306">
                  <w:marLeft w:val="0"/>
                  <w:marRight w:val="0"/>
                  <w:marTop w:val="0"/>
                  <w:marBottom w:val="0"/>
                  <w:divBdr>
                    <w:top w:val="none" w:sz="0" w:space="0" w:color="auto"/>
                    <w:left w:val="none" w:sz="0" w:space="0" w:color="auto"/>
                    <w:bottom w:val="none" w:sz="0" w:space="0" w:color="auto"/>
                    <w:right w:val="none" w:sz="0" w:space="0" w:color="auto"/>
                  </w:divBdr>
                  <w:divsChild>
                    <w:div w:id="526526216">
                      <w:marLeft w:val="0"/>
                      <w:marRight w:val="0"/>
                      <w:marTop w:val="0"/>
                      <w:marBottom w:val="0"/>
                      <w:divBdr>
                        <w:top w:val="none" w:sz="0" w:space="0" w:color="auto"/>
                        <w:left w:val="none" w:sz="0" w:space="0" w:color="auto"/>
                        <w:bottom w:val="none" w:sz="0" w:space="0" w:color="auto"/>
                        <w:right w:val="none" w:sz="0" w:space="0" w:color="auto"/>
                      </w:divBdr>
                      <w:divsChild>
                        <w:div w:id="720251027">
                          <w:marLeft w:val="0"/>
                          <w:marRight w:val="0"/>
                          <w:marTop w:val="0"/>
                          <w:marBottom w:val="0"/>
                          <w:divBdr>
                            <w:top w:val="none" w:sz="0" w:space="0" w:color="auto"/>
                            <w:left w:val="none" w:sz="0" w:space="0" w:color="auto"/>
                            <w:bottom w:val="none" w:sz="0" w:space="0" w:color="auto"/>
                            <w:right w:val="none" w:sz="0" w:space="0" w:color="auto"/>
                          </w:divBdr>
                          <w:divsChild>
                            <w:div w:id="499738562">
                              <w:marLeft w:val="0"/>
                              <w:marRight w:val="0"/>
                              <w:marTop w:val="0"/>
                              <w:marBottom w:val="0"/>
                              <w:divBdr>
                                <w:top w:val="none" w:sz="0" w:space="0" w:color="auto"/>
                                <w:left w:val="none" w:sz="0" w:space="0" w:color="auto"/>
                                <w:bottom w:val="none" w:sz="0" w:space="0" w:color="auto"/>
                                <w:right w:val="none" w:sz="0" w:space="0" w:color="auto"/>
                              </w:divBdr>
                              <w:divsChild>
                                <w:div w:id="1751003874">
                                  <w:marLeft w:val="0"/>
                                  <w:marRight w:val="0"/>
                                  <w:marTop w:val="0"/>
                                  <w:marBottom w:val="0"/>
                                  <w:divBdr>
                                    <w:top w:val="none" w:sz="0" w:space="0" w:color="auto"/>
                                    <w:left w:val="none" w:sz="0" w:space="0" w:color="auto"/>
                                    <w:bottom w:val="none" w:sz="0" w:space="0" w:color="auto"/>
                                    <w:right w:val="none" w:sz="0" w:space="0" w:color="auto"/>
                                  </w:divBdr>
                                  <w:divsChild>
                                    <w:div w:id="1414473413">
                                      <w:marLeft w:val="0"/>
                                      <w:marRight w:val="0"/>
                                      <w:marTop w:val="0"/>
                                      <w:marBottom w:val="0"/>
                                      <w:divBdr>
                                        <w:top w:val="none" w:sz="0" w:space="0" w:color="auto"/>
                                        <w:left w:val="none" w:sz="0" w:space="0" w:color="auto"/>
                                        <w:bottom w:val="none" w:sz="0" w:space="0" w:color="auto"/>
                                        <w:right w:val="none" w:sz="0" w:space="0" w:color="auto"/>
                                      </w:divBdr>
                                      <w:divsChild>
                                        <w:div w:id="1325934563">
                                          <w:marLeft w:val="0"/>
                                          <w:marRight w:val="0"/>
                                          <w:marTop w:val="0"/>
                                          <w:marBottom w:val="0"/>
                                          <w:divBdr>
                                            <w:top w:val="none" w:sz="0" w:space="0" w:color="auto"/>
                                            <w:left w:val="none" w:sz="0" w:space="0" w:color="auto"/>
                                            <w:bottom w:val="none" w:sz="0" w:space="0" w:color="auto"/>
                                            <w:right w:val="none" w:sz="0" w:space="0" w:color="auto"/>
                                          </w:divBdr>
                                          <w:divsChild>
                                            <w:div w:id="392628323">
                                              <w:marLeft w:val="0"/>
                                              <w:marRight w:val="0"/>
                                              <w:marTop w:val="0"/>
                                              <w:marBottom w:val="0"/>
                                              <w:divBdr>
                                                <w:top w:val="none" w:sz="0" w:space="0" w:color="auto"/>
                                                <w:left w:val="none" w:sz="0" w:space="0" w:color="auto"/>
                                                <w:bottom w:val="none" w:sz="0" w:space="0" w:color="auto"/>
                                                <w:right w:val="none" w:sz="0" w:space="0" w:color="auto"/>
                                              </w:divBdr>
                                              <w:divsChild>
                                                <w:div w:id="1674602477">
                                                  <w:marLeft w:val="0"/>
                                                  <w:marRight w:val="0"/>
                                                  <w:marTop w:val="0"/>
                                                  <w:marBottom w:val="0"/>
                                                  <w:divBdr>
                                                    <w:top w:val="none" w:sz="0" w:space="0" w:color="auto"/>
                                                    <w:left w:val="none" w:sz="0" w:space="0" w:color="auto"/>
                                                    <w:bottom w:val="none" w:sz="0" w:space="0" w:color="auto"/>
                                                    <w:right w:val="none" w:sz="0" w:space="0" w:color="auto"/>
                                                  </w:divBdr>
                                                  <w:divsChild>
                                                    <w:div w:id="1786581563">
                                                      <w:marLeft w:val="0"/>
                                                      <w:marRight w:val="0"/>
                                                      <w:marTop w:val="0"/>
                                                      <w:marBottom w:val="0"/>
                                                      <w:divBdr>
                                                        <w:top w:val="single" w:sz="12" w:space="0" w:color="ABABAB"/>
                                                        <w:left w:val="single" w:sz="6" w:space="0" w:color="ABABAB"/>
                                                        <w:bottom w:val="none" w:sz="0" w:space="0" w:color="auto"/>
                                                        <w:right w:val="single" w:sz="6" w:space="0" w:color="ABABAB"/>
                                                      </w:divBdr>
                                                      <w:divsChild>
                                                        <w:div w:id="175268937">
                                                          <w:marLeft w:val="0"/>
                                                          <w:marRight w:val="0"/>
                                                          <w:marTop w:val="0"/>
                                                          <w:marBottom w:val="0"/>
                                                          <w:divBdr>
                                                            <w:top w:val="none" w:sz="0" w:space="0" w:color="auto"/>
                                                            <w:left w:val="none" w:sz="0" w:space="0" w:color="auto"/>
                                                            <w:bottom w:val="none" w:sz="0" w:space="0" w:color="auto"/>
                                                            <w:right w:val="none" w:sz="0" w:space="0" w:color="auto"/>
                                                          </w:divBdr>
                                                          <w:divsChild>
                                                            <w:div w:id="1864123237">
                                                              <w:marLeft w:val="0"/>
                                                              <w:marRight w:val="0"/>
                                                              <w:marTop w:val="0"/>
                                                              <w:marBottom w:val="0"/>
                                                              <w:divBdr>
                                                                <w:top w:val="none" w:sz="0" w:space="0" w:color="auto"/>
                                                                <w:left w:val="none" w:sz="0" w:space="0" w:color="auto"/>
                                                                <w:bottom w:val="none" w:sz="0" w:space="0" w:color="auto"/>
                                                                <w:right w:val="none" w:sz="0" w:space="0" w:color="auto"/>
                                                              </w:divBdr>
                                                              <w:divsChild>
                                                                <w:div w:id="4939235">
                                                                  <w:marLeft w:val="0"/>
                                                                  <w:marRight w:val="0"/>
                                                                  <w:marTop w:val="0"/>
                                                                  <w:marBottom w:val="0"/>
                                                                  <w:divBdr>
                                                                    <w:top w:val="none" w:sz="0" w:space="0" w:color="auto"/>
                                                                    <w:left w:val="none" w:sz="0" w:space="0" w:color="auto"/>
                                                                    <w:bottom w:val="none" w:sz="0" w:space="0" w:color="auto"/>
                                                                    <w:right w:val="none" w:sz="0" w:space="0" w:color="auto"/>
                                                                  </w:divBdr>
                                                                  <w:divsChild>
                                                                    <w:div w:id="1167137800">
                                                                      <w:marLeft w:val="0"/>
                                                                      <w:marRight w:val="0"/>
                                                                      <w:marTop w:val="0"/>
                                                                      <w:marBottom w:val="0"/>
                                                                      <w:divBdr>
                                                                        <w:top w:val="none" w:sz="0" w:space="0" w:color="auto"/>
                                                                        <w:left w:val="none" w:sz="0" w:space="0" w:color="auto"/>
                                                                        <w:bottom w:val="none" w:sz="0" w:space="0" w:color="auto"/>
                                                                        <w:right w:val="none" w:sz="0" w:space="0" w:color="auto"/>
                                                                      </w:divBdr>
                                                                      <w:divsChild>
                                                                        <w:div w:id="1461607666">
                                                                          <w:marLeft w:val="0"/>
                                                                          <w:marRight w:val="0"/>
                                                                          <w:marTop w:val="0"/>
                                                                          <w:marBottom w:val="0"/>
                                                                          <w:divBdr>
                                                                            <w:top w:val="none" w:sz="0" w:space="0" w:color="auto"/>
                                                                            <w:left w:val="none" w:sz="0" w:space="0" w:color="auto"/>
                                                                            <w:bottom w:val="none" w:sz="0" w:space="0" w:color="auto"/>
                                                                            <w:right w:val="none" w:sz="0" w:space="0" w:color="auto"/>
                                                                          </w:divBdr>
                                                                          <w:divsChild>
                                                                            <w:div w:id="1240484528">
                                                                              <w:marLeft w:val="0"/>
                                                                              <w:marRight w:val="0"/>
                                                                              <w:marTop w:val="0"/>
                                                                              <w:marBottom w:val="0"/>
                                                                              <w:divBdr>
                                                                                <w:top w:val="none" w:sz="0" w:space="0" w:color="auto"/>
                                                                                <w:left w:val="none" w:sz="0" w:space="0" w:color="auto"/>
                                                                                <w:bottom w:val="none" w:sz="0" w:space="0" w:color="auto"/>
                                                                                <w:right w:val="none" w:sz="0" w:space="0" w:color="auto"/>
                                                                              </w:divBdr>
                                                                              <w:divsChild>
                                                                                <w:div w:id="241649643">
                                                                                  <w:marLeft w:val="0"/>
                                                                                  <w:marRight w:val="0"/>
                                                                                  <w:marTop w:val="0"/>
                                                                                  <w:marBottom w:val="0"/>
                                                                                  <w:divBdr>
                                                                                    <w:top w:val="none" w:sz="0" w:space="0" w:color="auto"/>
                                                                                    <w:left w:val="none" w:sz="0" w:space="0" w:color="auto"/>
                                                                                    <w:bottom w:val="none" w:sz="0" w:space="0" w:color="auto"/>
                                                                                    <w:right w:val="none" w:sz="0" w:space="0" w:color="auto"/>
                                                                                  </w:divBdr>
                                                                                  <w:divsChild>
                                                                                    <w:div w:id="2017879758">
                                                                                      <w:marLeft w:val="0"/>
                                                                                      <w:marRight w:val="0"/>
                                                                                      <w:marTop w:val="0"/>
                                                                                      <w:marBottom w:val="0"/>
                                                                                      <w:divBdr>
                                                                                        <w:top w:val="none" w:sz="0" w:space="0" w:color="auto"/>
                                                                                        <w:left w:val="none" w:sz="0" w:space="0" w:color="auto"/>
                                                                                        <w:bottom w:val="none" w:sz="0" w:space="0" w:color="auto"/>
                                                                                        <w:right w:val="none" w:sz="0" w:space="0" w:color="auto"/>
                                                                                      </w:divBdr>
                                                                                    </w:div>
                                                                                  </w:divsChild>
                                                                                </w:div>
                                                                                <w:div w:id="909268813">
                                                                                  <w:marLeft w:val="0"/>
                                                                                  <w:marRight w:val="0"/>
                                                                                  <w:marTop w:val="0"/>
                                                                                  <w:marBottom w:val="0"/>
                                                                                  <w:divBdr>
                                                                                    <w:top w:val="none" w:sz="0" w:space="0" w:color="auto"/>
                                                                                    <w:left w:val="none" w:sz="0" w:space="0" w:color="auto"/>
                                                                                    <w:bottom w:val="none" w:sz="0" w:space="0" w:color="auto"/>
                                                                                    <w:right w:val="none" w:sz="0" w:space="0" w:color="auto"/>
                                                                                  </w:divBdr>
                                                                                  <w:divsChild>
                                                                                    <w:div w:id="414979894">
                                                                                      <w:marLeft w:val="0"/>
                                                                                      <w:marRight w:val="0"/>
                                                                                      <w:marTop w:val="0"/>
                                                                                      <w:marBottom w:val="0"/>
                                                                                      <w:divBdr>
                                                                                        <w:top w:val="none" w:sz="0" w:space="0" w:color="auto"/>
                                                                                        <w:left w:val="none" w:sz="0" w:space="0" w:color="auto"/>
                                                                                        <w:bottom w:val="none" w:sz="0" w:space="0" w:color="auto"/>
                                                                                        <w:right w:val="none" w:sz="0" w:space="0" w:color="auto"/>
                                                                                      </w:divBdr>
                                                                                    </w:div>
                                                                                    <w:div w:id="540289388">
                                                                                      <w:marLeft w:val="0"/>
                                                                                      <w:marRight w:val="0"/>
                                                                                      <w:marTop w:val="0"/>
                                                                                      <w:marBottom w:val="0"/>
                                                                                      <w:divBdr>
                                                                                        <w:top w:val="none" w:sz="0" w:space="0" w:color="auto"/>
                                                                                        <w:left w:val="none" w:sz="0" w:space="0" w:color="auto"/>
                                                                                        <w:bottom w:val="none" w:sz="0" w:space="0" w:color="auto"/>
                                                                                        <w:right w:val="none" w:sz="0" w:space="0" w:color="auto"/>
                                                                                      </w:divBdr>
                                                                                    </w:div>
                                                                                    <w:div w:id="1437869233">
                                                                                      <w:marLeft w:val="0"/>
                                                                                      <w:marRight w:val="0"/>
                                                                                      <w:marTop w:val="0"/>
                                                                                      <w:marBottom w:val="0"/>
                                                                                      <w:divBdr>
                                                                                        <w:top w:val="none" w:sz="0" w:space="0" w:color="auto"/>
                                                                                        <w:left w:val="none" w:sz="0" w:space="0" w:color="auto"/>
                                                                                        <w:bottom w:val="none" w:sz="0" w:space="0" w:color="auto"/>
                                                                                        <w:right w:val="none" w:sz="0" w:space="0" w:color="auto"/>
                                                                                      </w:divBdr>
                                                                                    </w:div>
                                                                                    <w:div w:id="2010869243">
                                                                                      <w:marLeft w:val="0"/>
                                                                                      <w:marRight w:val="0"/>
                                                                                      <w:marTop w:val="0"/>
                                                                                      <w:marBottom w:val="0"/>
                                                                                      <w:divBdr>
                                                                                        <w:top w:val="none" w:sz="0" w:space="0" w:color="auto"/>
                                                                                        <w:left w:val="none" w:sz="0" w:space="0" w:color="auto"/>
                                                                                        <w:bottom w:val="none" w:sz="0" w:space="0" w:color="auto"/>
                                                                                        <w:right w:val="none" w:sz="0" w:space="0" w:color="auto"/>
                                                                                      </w:divBdr>
                                                                                    </w:div>
                                                                                    <w:div w:id="20444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6876">
      <w:bodyDiv w:val="1"/>
      <w:marLeft w:val="0"/>
      <w:marRight w:val="0"/>
      <w:marTop w:val="0"/>
      <w:marBottom w:val="0"/>
      <w:divBdr>
        <w:top w:val="none" w:sz="0" w:space="0" w:color="auto"/>
        <w:left w:val="none" w:sz="0" w:space="0" w:color="auto"/>
        <w:bottom w:val="none" w:sz="0" w:space="0" w:color="auto"/>
        <w:right w:val="none" w:sz="0" w:space="0" w:color="auto"/>
      </w:divBdr>
      <w:divsChild>
        <w:div w:id="83962296">
          <w:marLeft w:val="0"/>
          <w:marRight w:val="0"/>
          <w:marTop w:val="0"/>
          <w:marBottom w:val="0"/>
          <w:divBdr>
            <w:top w:val="none" w:sz="0" w:space="0" w:color="auto"/>
            <w:left w:val="none" w:sz="0" w:space="0" w:color="auto"/>
            <w:bottom w:val="none" w:sz="0" w:space="0" w:color="auto"/>
            <w:right w:val="none" w:sz="0" w:space="0" w:color="auto"/>
          </w:divBdr>
          <w:divsChild>
            <w:div w:id="1161435048">
              <w:marLeft w:val="0"/>
              <w:marRight w:val="0"/>
              <w:marTop w:val="0"/>
              <w:marBottom w:val="0"/>
              <w:divBdr>
                <w:top w:val="none" w:sz="0" w:space="0" w:color="auto"/>
                <w:left w:val="none" w:sz="0" w:space="0" w:color="auto"/>
                <w:bottom w:val="none" w:sz="0" w:space="0" w:color="auto"/>
                <w:right w:val="none" w:sz="0" w:space="0" w:color="auto"/>
              </w:divBdr>
              <w:divsChild>
                <w:div w:id="194117724">
                  <w:marLeft w:val="0"/>
                  <w:marRight w:val="0"/>
                  <w:marTop w:val="0"/>
                  <w:marBottom w:val="0"/>
                  <w:divBdr>
                    <w:top w:val="none" w:sz="0" w:space="0" w:color="auto"/>
                    <w:left w:val="none" w:sz="0" w:space="0" w:color="auto"/>
                    <w:bottom w:val="none" w:sz="0" w:space="0" w:color="auto"/>
                    <w:right w:val="none" w:sz="0" w:space="0" w:color="auto"/>
                  </w:divBdr>
                  <w:divsChild>
                    <w:div w:id="1398553948">
                      <w:marLeft w:val="0"/>
                      <w:marRight w:val="0"/>
                      <w:marTop w:val="0"/>
                      <w:marBottom w:val="0"/>
                      <w:divBdr>
                        <w:top w:val="none" w:sz="0" w:space="0" w:color="auto"/>
                        <w:left w:val="none" w:sz="0" w:space="0" w:color="auto"/>
                        <w:bottom w:val="none" w:sz="0" w:space="0" w:color="auto"/>
                        <w:right w:val="none" w:sz="0" w:space="0" w:color="auto"/>
                      </w:divBdr>
                      <w:divsChild>
                        <w:div w:id="1547839566">
                          <w:marLeft w:val="0"/>
                          <w:marRight w:val="0"/>
                          <w:marTop w:val="0"/>
                          <w:marBottom w:val="0"/>
                          <w:divBdr>
                            <w:top w:val="none" w:sz="0" w:space="0" w:color="auto"/>
                            <w:left w:val="none" w:sz="0" w:space="0" w:color="auto"/>
                            <w:bottom w:val="none" w:sz="0" w:space="0" w:color="auto"/>
                            <w:right w:val="none" w:sz="0" w:space="0" w:color="auto"/>
                          </w:divBdr>
                          <w:divsChild>
                            <w:div w:id="793057381">
                              <w:marLeft w:val="0"/>
                              <w:marRight w:val="0"/>
                              <w:marTop w:val="0"/>
                              <w:marBottom w:val="0"/>
                              <w:divBdr>
                                <w:top w:val="none" w:sz="0" w:space="0" w:color="auto"/>
                                <w:left w:val="none" w:sz="0" w:space="0" w:color="auto"/>
                                <w:bottom w:val="none" w:sz="0" w:space="0" w:color="auto"/>
                                <w:right w:val="none" w:sz="0" w:space="0" w:color="auto"/>
                              </w:divBdr>
                              <w:divsChild>
                                <w:div w:id="1063137828">
                                  <w:marLeft w:val="0"/>
                                  <w:marRight w:val="0"/>
                                  <w:marTop w:val="0"/>
                                  <w:marBottom w:val="0"/>
                                  <w:divBdr>
                                    <w:top w:val="none" w:sz="0" w:space="0" w:color="auto"/>
                                    <w:left w:val="none" w:sz="0" w:space="0" w:color="auto"/>
                                    <w:bottom w:val="none" w:sz="0" w:space="0" w:color="auto"/>
                                    <w:right w:val="none" w:sz="0" w:space="0" w:color="auto"/>
                                  </w:divBdr>
                                  <w:divsChild>
                                    <w:div w:id="170417867">
                                      <w:marLeft w:val="0"/>
                                      <w:marRight w:val="0"/>
                                      <w:marTop w:val="0"/>
                                      <w:marBottom w:val="0"/>
                                      <w:divBdr>
                                        <w:top w:val="none" w:sz="0" w:space="0" w:color="auto"/>
                                        <w:left w:val="none" w:sz="0" w:space="0" w:color="auto"/>
                                        <w:bottom w:val="none" w:sz="0" w:space="0" w:color="auto"/>
                                        <w:right w:val="none" w:sz="0" w:space="0" w:color="auto"/>
                                      </w:divBdr>
                                      <w:divsChild>
                                        <w:div w:id="164635020">
                                          <w:marLeft w:val="0"/>
                                          <w:marRight w:val="0"/>
                                          <w:marTop w:val="0"/>
                                          <w:marBottom w:val="0"/>
                                          <w:divBdr>
                                            <w:top w:val="none" w:sz="0" w:space="0" w:color="auto"/>
                                            <w:left w:val="none" w:sz="0" w:space="0" w:color="auto"/>
                                            <w:bottom w:val="none" w:sz="0" w:space="0" w:color="auto"/>
                                            <w:right w:val="none" w:sz="0" w:space="0" w:color="auto"/>
                                          </w:divBdr>
                                          <w:divsChild>
                                            <w:div w:id="1900241050">
                                              <w:marLeft w:val="0"/>
                                              <w:marRight w:val="0"/>
                                              <w:marTop w:val="0"/>
                                              <w:marBottom w:val="0"/>
                                              <w:divBdr>
                                                <w:top w:val="none" w:sz="0" w:space="0" w:color="auto"/>
                                                <w:left w:val="none" w:sz="0" w:space="0" w:color="auto"/>
                                                <w:bottom w:val="none" w:sz="0" w:space="0" w:color="auto"/>
                                                <w:right w:val="none" w:sz="0" w:space="0" w:color="auto"/>
                                              </w:divBdr>
                                              <w:divsChild>
                                                <w:div w:id="541092167">
                                                  <w:marLeft w:val="0"/>
                                                  <w:marRight w:val="0"/>
                                                  <w:marTop w:val="0"/>
                                                  <w:marBottom w:val="0"/>
                                                  <w:divBdr>
                                                    <w:top w:val="none" w:sz="0" w:space="0" w:color="auto"/>
                                                    <w:left w:val="none" w:sz="0" w:space="0" w:color="auto"/>
                                                    <w:bottom w:val="none" w:sz="0" w:space="0" w:color="auto"/>
                                                    <w:right w:val="none" w:sz="0" w:space="0" w:color="auto"/>
                                                  </w:divBdr>
                                                  <w:divsChild>
                                                    <w:div w:id="297031603">
                                                      <w:marLeft w:val="0"/>
                                                      <w:marRight w:val="0"/>
                                                      <w:marTop w:val="0"/>
                                                      <w:marBottom w:val="0"/>
                                                      <w:divBdr>
                                                        <w:top w:val="single" w:sz="12" w:space="0" w:color="ABABAB"/>
                                                        <w:left w:val="single" w:sz="6" w:space="0" w:color="ABABAB"/>
                                                        <w:bottom w:val="none" w:sz="0" w:space="0" w:color="auto"/>
                                                        <w:right w:val="single" w:sz="6" w:space="0" w:color="ABABAB"/>
                                                      </w:divBdr>
                                                      <w:divsChild>
                                                        <w:div w:id="231812583">
                                                          <w:marLeft w:val="0"/>
                                                          <w:marRight w:val="0"/>
                                                          <w:marTop w:val="0"/>
                                                          <w:marBottom w:val="0"/>
                                                          <w:divBdr>
                                                            <w:top w:val="none" w:sz="0" w:space="0" w:color="auto"/>
                                                            <w:left w:val="none" w:sz="0" w:space="0" w:color="auto"/>
                                                            <w:bottom w:val="none" w:sz="0" w:space="0" w:color="auto"/>
                                                            <w:right w:val="none" w:sz="0" w:space="0" w:color="auto"/>
                                                          </w:divBdr>
                                                          <w:divsChild>
                                                            <w:div w:id="697924307">
                                                              <w:marLeft w:val="0"/>
                                                              <w:marRight w:val="0"/>
                                                              <w:marTop w:val="0"/>
                                                              <w:marBottom w:val="0"/>
                                                              <w:divBdr>
                                                                <w:top w:val="none" w:sz="0" w:space="0" w:color="auto"/>
                                                                <w:left w:val="none" w:sz="0" w:space="0" w:color="auto"/>
                                                                <w:bottom w:val="none" w:sz="0" w:space="0" w:color="auto"/>
                                                                <w:right w:val="none" w:sz="0" w:space="0" w:color="auto"/>
                                                              </w:divBdr>
                                                              <w:divsChild>
                                                                <w:div w:id="1782457805">
                                                                  <w:marLeft w:val="0"/>
                                                                  <w:marRight w:val="0"/>
                                                                  <w:marTop w:val="0"/>
                                                                  <w:marBottom w:val="0"/>
                                                                  <w:divBdr>
                                                                    <w:top w:val="none" w:sz="0" w:space="0" w:color="auto"/>
                                                                    <w:left w:val="none" w:sz="0" w:space="0" w:color="auto"/>
                                                                    <w:bottom w:val="none" w:sz="0" w:space="0" w:color="auto"/>
                                                                    <w:right w:val="none" w:sz="0" w:space="0" w:color="auto"/>
                                                                  </w:divBdr>
                                                                  <w:divsChild>
                                                                    <w:div w:id="1925532523">
                                                                      <w:marLeft w:val="0"/>
                                                                      <w:marRight w:val="0"/>
                                                                      <w:marTop w:val="0"/>
                                                                      <w:marBottom w:val="0"/>
                                                                      <w:divBdr>
                                                                        <w:top w:val="none" w:sz="0" w:space="0" w:color="auto"/>
                                                                        <w:left w:val="none" w:sz="0" w:space="0" w:color="auto"/>
                                                                        <w:bottom w:val="none" w:sz="0" w:space="0" w:color="auto"/>
                                                                        <w:right w:val="none" w:sz="0" w:space="0" w:color="auto"/>
                                                                      </w:divBdr>
                                                                      <w:divsChild>
                                                                        <w:div w:id="1916934392">
                                                                          <w:marLeft w:val="0"/>
                                                                          <w:marRight w:val="0"/>
                                                                          <w:marTop w:val="0"/>
                                                                          <w:marBottom w:val="0"/>
                                                                          <w:divBdr>
                                                                            <w:top w:val="none" w:sz="0" w:space="0" w:color="auto"/>
                                                                            <w:left w:val="none" w:sz="0" w:space="0" w:color="auto"/>
                                                                            <w:bottom w:val="none" w:sz="0" w:space="0" w:color="auto"/>
                                                                            <w:right w:val="none" w:sz="0" w:space="0" w:color="auto"/>
                                                                          </w:divBdr>
                                                                          <w:divsChild>
                                                                            <w:div w:id="65298975">
                                                                              <w:marLeft w:val="0"/>
                                                                              <w:marRight w:val="0"/>
                                                                              <w:marTop w:val="0"/>
                                                                              <w:marBottom w:val="0"/>
                                                                              <w:divBdr>
                                                                                <w:top w:val="none" w:sz="0" w:space="0" w:color="auto"/>
                                                                                <w:left w:val="none" w:sz="0" w:space="0" w:color="auto"/>
                                                                                <w:bottom w:val="none" w:sz="0" w:space="0" w:color="auto"/>
                                                                                <w:right w:val="none" w:sz="0" w:space="0" w:color="auto"/>
                                                                              </w:divBdr>
                                                                              <w:divsChild>
                                                                                <w:div w:id="292636748">
                                                                                  <w:marLeft w:val="0"/>
                                                                                  <w:marRight w:val="0"/>
                                                                                  <w:marTop w:val="0"/>
                                                                                  <w:marBottom w:val="0"/>
                                                                                  <w:divBdr>
                                                                                    <w:top w:val="none" w:sz="0" w:space="0" w:color="auto"/>
                                                                                    <w:left w:val="none" w:sz="0" w:space="0" w:color="auto"/>
                                                                                    <w:bottom w:val="none" w:sz="0" w:space="0" w:color="auto"/>
                                                                                    <w:right w:val="none" w:sz="0" w:space="0" w:color="auto"/>
                                                                                  </w:divBdr>
                                                                                  <w:divsChild>
                                                                                    <w:div w:id="524827416">
                                                                                      <w:marLeft w:val="0"/>
                                                                                      <w:marRight w:val="0"/>
                                                                                      <w:marTop w:val="0"/>
                                                                                      <w:marBottom w:val="0"/>
                                                                                      <w:divBdr>
                                                                                        <w:top w:val="none" w:sz="0" w:space="0" w:color="auto"/>
                                                                                        <w:left w:val="none" w:sz="0" w:space="0" w:color="auto"/>
                                                                                        <w:bottom w:val="none" w:sz="0" w:space="0" w:color="auto"/>
                                                                                        <w:right w:val="none" w:sz="0" w:space="0" w:color="auto"/>
                                                                                      </w:divBdr>
                                                                                    </w:div>
                                                                                    <w:div w:id="597104685">
                                                                                      <w:marLeft w:val="0"/>
                                                                                      <w:marRight w:val="0"/>
                                                                                      <w:marTop w:val="0"/>
                                                                                      <w:marBottom w:val="0"/>
                                                                                      <w:divBdr>
                                                                                        <w:top w:val="none" w:sz="0" w:space="0" w:color="auto"/>
                                                                                        <w:left w:val="none" w:sz="0" w:space="0" w:color="auto"/>
                                                                                        <w:bottom w:val="none" w:sz="0" w:space="0" w:color="auto"/>
                                                                                        <w:right w:val="none" w:sz="0" w:space="0" w:color="auto"/>
                                                                                      </w:divBdr>
                                                                                    </w:div>
                                                                                    <w:div w:id="847982646">
                                                                                      <w:marLeft w:val="0"/>
                                                                                      <w:marRight w:val="0"/>
                                                                                      <w:marTop w:val="0"/>
                                                                                      <w:marBottom w:val="0"/>
                                                                                      <w:divBdr>
                                                                                        <w:top w:val="none" w:sz="0" w:space="0" w:color="auto"/>
                                                                                        <w:left w:val="none" w:sz="0" w:space="0" w:color="auto"/>
                                                                                        <w:bottom w:val="none" w:sz="0" w:space="0" w:color="auto"/>
                                                                                        <w:right w:val="none" w:sz="0" w:space="0" w:color="auto"/>
                                                                                      </w:divBdr>
                                                                                    </w:div>
                                                                                    <w:div w:id="1504979171">
                                                                                      <w:marLeft w:val="0"/>
                                                                                      <w:marRight w:val="0"/>
                                                                                      <w:marTop w:val="0"/>
                                                                                      <w:marBottom w:val="0"/>
                                                                                      <w:divBdr>
                                                                                        <w:top w:val="none" w:sz="0" w:space="0" w:color="auto"/>
                                                                                        <w:left w:val="none" w:sz="0" w:space="0" w:color="auto"/>
                                                                                        <w:bottom w:val="none" w:sz="0" w:space="0" w:color="auto"/>
                                                                                        <w:right w:val="none" w:sz="0" w:space="0" w:color="auto"/>
                                                                                      </w:divBdr>
                                                                                    </w:div>
                                                                                    <w:div w:id="2021811060">
                                                                                      <w:marLeft w:val="0"/>
                                                                                      <w:marRight w:val="0"/>
                                                                                      <w:marTop w:val="0"/>
                                                                                      <w:marBottom w:val="0"/>
                                                                                      <w:divBdr>
                                                                                        <w:top w:val="none" w:sz="0" w:space="0" w:color="auto"/>
                                                                                        <w:left w:val="none" w:sz="0" w:space="0" w:color="auto"/>
                                                                                        <w:bottom w:val="none" w:sz="0" w:space="0" w:color="auto"/>
                                                                                        <w:right w:val="none" w:sz="0" w:space="0" w:color="auto"/>
                                                                                      </w:divBdr>
                                                                                    </w:div>
                                                                                  </w:divsChild>
                                                                                </w:div>
                                                                                <w:div w:id="1477184575">
                                                                                  <w:marLeft w:val="0"/>
                                                                                  <w:marRight w:val="0"/>
                                                                                  <w:marTop w:val="0"/>
                                                                                  <w:marBottom w:val="0"/>
                                                                                  <w:divBdr>
                                                                                    <w:top w:val="none" w:sz="0" w:space="0" w:color="auto"/>
                                                                                    <w:left w:val="none" w:sz="0" w:space="0" w:color="auto"/>
                                                                                    <w:bottom w:val="none" w:sz="0" w:space="0" w:color="auto"/>
                                                                                    <w:right w:val="none" w:sz="0" w:space="0" w:color="auto"/>
                                                                                  </w:divBdr>
                                                                                </w:div>
                                                                                <w:div w:id="1682469766">
                                                                                  <w:marLeft w:val="0"/>
                                                                                  <w:marRight w:val="0"/>
                                                                                  <w:marTop w:val="0"/>
                                                                                  <w:marBottom w:val="0"/>
                                                                                  <w:divBdr>
                                                                                    <w:top w:val="none" w:sz="0" w:space="0" w:color="auto"/>
                                                                                    <w:left w:val="none" w:sz="0" w:space="0" w:color="auto"/>
                                                                                    <w:bottom w:val="none" w:sz="0" w:space="0" w:color="auto"/>
                                                                                    <w:right w:val="none" w:sz="0" w:space="0" w:color="auto"/>
                                                                                  </w:divBdr>
                                                                                  <w:divsChild>
                                                                                    <w:div w:id="382339435">
                                                                                      <w:marLeft w:val="0"/>
                                                                                      <w:marRight w:val="0"/>
                                                                                      <w:marTop w:val="0"/>
                                                                                      <w:marBottom w:val="0"/>
                                                                                      <w:divBdr>
                                                                                        <w:top w:val="none" w:sz="0" w:space="0" w:color="auto"/>
                                                                                        <w:left w:val="none" w:sz="0" w:space="0" w:color="auto"/>
                                                                                        <w:bottom w:val="none" w:sz="0" w:space="0" w:color="auto"/>
                                                                                        <w:right w:val="none" w:sz="0" w:space="0" w:color="auto"/>
                                                                                      </w:divBdr>
                                                                                    </w:div>
                                                                                    <w:div w:id="786198165">
                                                                                      <w:marLeft w:val="0"/>
                                                                                      <w:marRight w:val="0"/>
                                                                                      <w:marTop w:val="0"/>
                                                                                      <w:marBottom w:val="0"/>
                                                                                      <w:divBdr>
                                                                                        <w:top w:val="none" w:sz="0" w:space="0" w:color="auto"/>
                                                                                        <w:left w:val="none" w:sz="0" w:space="0" w:color="auto"/>
                                                                                        <w:bottom w:val="none" w:sz="0" w:space="0" w:color="auto"/>
                                                                                        <w:right w:val="none" w:sz="0" w:space="0" w:color="auto"/>
                                                                                      </w:divBdr>
                                                                                    </w:div>
                                                                                    <w:div w:id="12119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the-future-of-the-new-homes-bonus-consultation?utm_medium=email&amp;utm_campaign=govuk-notifications&amp;utm_source=bb718755-65e1-4d03-8c96-f5617b6df99e&amp;utm_content=daily" TargetMode="External"/><Relationship Id="rId18" Type="http://schemas.openxmlformats.org/officeDocument/2006/relationships/hyperlink" Target="https://committees.parliament.uk/work/858/local-authority-financial-sustainability-and-the-section-114-regime/" TargetMode="External"/><Relationship Id="rId26" Type="http://schemas.openxmlformats.org/officeDocument/2006/relationships/hyperlink" Target="https://www.local.gov.uk/advisory-bulletin-687-january-2021" TargetMode="External"/><Relationship Id="rId3" Type="http://schemas.openxmlformats.org/officeDocument/2006/relationships/customXml" Target="../customXml/item3.xml"/><Relationship Id="rId21" Type="http://schemas.openxmlformats.org/officeDocument/2006/relationships/hyperlink" Target="https://committees.parliament.uk/work/841/spending-review-2020/" TargetMode="External"/><Relationship Id="rId7" Type="http://schemas.openxmlformats.org/officeDocument/2006/relationships/settings" Target="settings.xml"/><Relationship Id="rId12" Type="http://schemas.openxmlformats.org/officeDocument/2006/relationships/hyperlink" Target="https://local.gov.uk/parliament/briefings-and-responses/budget-2021-day-briefing" TargetMode="External"/><Relationship Id="rId17" Type="http://schemas.openxmlformats.org/officeDocument/2006/relationships/hyperlink" Target="https://committees.parliament.uk/work/1030/covid19-local-government-finance/" TargetMode="External"/><Relationship Id="rId25" Type="http://schemas.openxmlformats.org/officeDocument/2006/relationships/hyperlink" Target="https://www.gov.uk/government/publications/skills-for-jobs-lifelong-learning-for-opportunity-and-growt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vid-19-emergency-funding-for-local-government" TargetMode="External"/><Relationship Id="rId20" Type="http://schemas.openxmlformats.org/officeDocument/2006/relationships/hyperlink" Target="https://parliamentlive.tv/Event/Index/b08bb794-fc93-4bae-80bf-63af5cc96ed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final-local-government-finance-settlement-england-2021-to-2022" TargetMode="External"/><Relationship Id="rId24" Type="http://schemas.openxmlformats.org/officeDocument/2006/relationships/hyperlink" Target="https://www.local.gov.uk/our-support/workforce-and-hr-support/education-and-young-people/school-teachers-pay-2021"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consultations/hm-treasury-fundamental-review-of-business-rates-call-for-evidence" TargetMode="External"/><Relationship Id="rId23" Type="http://schemas.openxmlformats.org/officeDocument/2006/relationships/hyperlink" Target="https://www.local.gov.uk/parliament/briefings-and-responses/response-public-sector-audit-and-appointments-psaa-0" TargetMode="External"/><Relationship Id="rId28" Type="http://schemas.openxmlformats.org/officeDocument/2006/relationships/hyperlink" Target="mailto:sarah.pickup@local.gov.uk" TargetMode="External"/><Relationship Id="rId10" Type="http://schemas.openxmlformats.org/officeDocument/2006/relationships/endnotes" Target="endnotes.xml"/><Relationship Id="rId19" Type="http://schemas.openxmlformats.org/officeDocument/2006/relationships/hyperlink" Target="https://committees.parliament.uk/writtenevidence/21557/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business-rates-review-update" TargetMode="External"/><Relationship Id="rId22" Type="http://schemas.openxmlformats.org/officeDocument/2006/relationships/hyperlink" Target="https://www.psaa.co.uk/appointing-auditors-and-fees/list-of-auditor-appointments-and-scale-fees/2021-22-auditor-appointments-and-fee-scale/consultation-on-2021-22-scale-fees/" TargetMode="External"/><Relationship Id="rId27" Type="http://schemas.openxmlformats.org/officeDocument/2006/relationships/hyperlink" Target="file:///C:\Users\jamie.saddler\AppData\Local\Microsoft\Windows\INetCache\Content.Outlook\IGP91M00\consultation%20on%20reforming%20post-termination%20non-compete%20clause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5C1E308FBF4BBABD8F06FB83717CCE"/>
        <w:category>
          <w:name w:val="General"/>
          <w:gallery w:val="placeholder"/>
        </w:category>
        <w:types>
          <w:type w:val="bbPlcHdr"/>
        </w:types>
        <w:behaviors>
          <w:behavior w:val="content"/>
        </w:behaviors>
        <w:guid w:val="{76977746-71F1-422A-8EAB-1ADE31720FDF}"/>
      </w:docPartPr>
      <w:docPartBody>
        <w:p w:rsidR="00F00B12" w:rsidRDefault="00AE154B" w:rsidP="00AE154B">
          <w:pPr>
            <w:pStyle w:val="F35C1E308FBF4BBABD8F06FB83717CCE"/>
          </w:pPr>
          <w:r w:rsidRPr="00FB1144">
            <w:rPr>
              <w:rStyle w:val="PlaceholderText"/>
            </w:rPr>
            <w:t>Click here to enter text.</w:t>
          </w:r>
        </w:p>
      </w:docPartBody>
    </w:docPart>
    <w:docPart>
      <w:docPartPr>
        <w:name w:val="550C4AF824624B0EAF88696FA36B72EA"/>
        <w:category>
          <w:name w:val="General"/>
          <w:gallery w:val="placeholder"/>
        </w:category>
        <w:types>
          <w:type w:val="bbPlcHdr"/>
        </w:types>
        <w:behaviors>
          <w:behavior w:val="content"/>
        </w:behaviors>
        <w:guid w:val="{98748D4E-136F-4C63-A410-CFEEA3E50F6A}"/>
      </w:docPartPr>
      <w:docPartBody>
        <w:p w:rsidR="00F00B12" w:rsidRDefault="00AE154B" w:rsidP="00AE154B">
          <w:pPr>
            <w:pStyle w:val="550C4AF824624B0EAF88696FA36B72EA"/>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12"/>
    <w:rsid w:val="001D779D"/>
    <w:rsid w:val="00266A06"/>
    <w:rsid w:val="00303C7A"/>
    <w:rsid w:val="00A53360"/>
    <w:rsid w:val="00AE154B"/>
    <w:rsid w:val="00B816CF"/>
    <w:rsid w:val="00CE4DB6"/>
    <w:rsid w:val="00DF1CF9"/>
    <w:rsid w:val="00F00B12"/>
    <w:rsid w:val="00FF3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54B"/>
    <w:rPr>
      <w:color w:val="808080"/>
    </w:rPr>
  </w:style>
  <w:style w:type="paragraph" w:customStyle="1" w:styleId="E8C9CA89CCA340508D901699E635B791">
    <w:name w:val="E8C9CA89CCA340508D901699E635B791"/>
    <w:rsid w:val="00FF3012"/>
  </w:style>
  <w:style w:type="paragraph" w:customStyle="1" w:styleId="1F5A05DDF44C4F63856C417F1800960A">
    <w:name w:val="1F5A05DDF44C4F63856C417F1800960A"/>
    <w:rsid w:val="00FF3012"/>
  </w:style>
  <w:style w:type="paragraph" w:customStyle="1" w:styleId="762EDB07ABAE4F9AA6048A0DB9E56649">
    <w:name w:val="762EDB07ABAE4F9AA6048A0DB9E56649"/>
    <w:rsid w:val="00AE154B"/>
  </w:style>
  <w:style w:type="paragraph" w:customStyle="1" w:styleId="A3F3EC778B9948F0B71EE0E986B7CEFD">
    <w:name w:val="A3F3EC778B9948F0B71EE0E986B7CEFD"/>
    <w:rsid w:val="00AE154B"/>
  </w:style>
  <w:style w:type="paragraph" w:customStyle="1" w:styleId="F35C1E308FBF4BBABD8F06FB83717CCE">
    <w:name w:val="F35C1E308FBF4BBABD8F06FB83717CCE"/>
    <w:rsid w:val="00AE154B"/>
  </w:style>
  <w:style w:type="paragraph" w:customStyle="1" w:styleId="550C4AF824624B0EAF88696FA36B72EA">
    <w:name w:val="550C4AF824624B0EAF88696FA36B72EA"/>
    <w:rsid w:val="00AE1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7" ma:contentTypeDescription="Create a new document." ma:contentTypeScope="" ma:versionID="b76f306d89ee06495da7f3567c0b185d">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b4cfe362afaa19ccafb6bf1b4b7ced87"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B8CF-1875-45D4-AF28-3F80F033E52B}">
  <ds:schemaRefs>
    <ds:schemaRef ds:uri="http://schemas.microsoft.com/sharepoint/v3/contenttype/forms"/>
  </ds:schemaRefs>
</ds:datastoreItem>
</file>

<file path=customXml/itemProps2.xml><?xml version="1.0" encoding="utf-8"?>
<ds:datastoreItem xmlns:ds="http://schemas.openxmlformats.org/officeDocument/2006/customXml" ds:itemID="{4E3C2815-E53D-443B-9452-C32CDAEC92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ACCFF7-EE0F-4DDE-B646-1575590F7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75AF0-2ED6-4372-8A98-57D7DF9C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Richard Kember</cp:lastModifiedBy>
  <cp:revision>47</cp:revision>
  <dcterms:created xsi:type="dcterms:W3CDTF">2021-03-01T12:07:00Z</dcterms:created>
  <dcterms:modified xsi:type="dcterms:W3CDTF">2021-03-05T16:03:00Z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